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2"/>
        <w:spacing w:line="560" w:lineRule="exact"/>
        <w:jc w:val="left"/>
        <w:rPr>
          <w:rFonts w:ascii="方正黑体_GBK" w:eastAsia="方正黑体_GBK" w:hint="eastAsia"/>
          <w:b w:val="0"/>
          <w:bCs/>
          <w:color w:val="000000"/>
          <w:szCs w:val="32"/>
          <w:highlight w:val="auto"/>
        </w:rPr>
      </w:pPr>
    </w:p>
    <w:p>
      <w:pPr>
        <w:pStyle w:val="32"/>
        <w:spacing w:line="560" w:lineRule="exact"/>
        <w:jc w:val="center"/>
        <w:rPr>
          <w:rFonts w:ascii="方正小标宋_GBK" w:eastAsia="方正小标宋_GBK"/>
          <w:b w:val="0"/>
          <w:bCs/>
          <w:color w:val="000000"/>
          <w:sz w:val="44"/>
          <w:szCs w:val="44"/>
          <w:highlight w:val="auto"/>
        </w:rPr>
      </w:pPr>
      <w:r>
        <w:rPr>
          <w:rFonts w:ascii="方正小标宋_GBK" w:eastAsia="方正小标宋_GBK" w:hint="eastAsia"/>
          <w:b w:val="0"/>
          <w:bCs/>
          <w:color w:val="000000"/>
          <w:sz w:val="44"/>
          <w:szCs w:val="44"/>
          <w:highlight w:val="auto"/>
        </w:rPr>
        <w:t>海关总署关于报关企业依法履行合理审查义务相关事项的公告</w:t>
      </w:r>
    </w:p>
    <w:p>
      <w:pPr>
        <w:pStyle w:val="32"/>
        <w:spacing w:line="560" w:lineRule="exact"/>
        <w:jc w:val="center"/>
        <w:rPr>
          <w:rFonts w:ascii="方正楷体_GBK" w:eastAsia="方正楷体_GBK" w:hint="eastAsia"/>
          <w:b/>
          <w:bCs/>
          <w:color w:val="000000"/>
          <w:szCs w:val="32"/>
          <w:highlight w:val="auto"/>
        </w:rPr>
      </w:pPr>
      <w:r>
        <w:rPr>
          <w:rFonts w:ascii="方正楷体_GBK" w:eastAsia="方正楷体_GBK" w:hint="eastAsia"/>
          <w:b/>
          <w:bCs/>
          <w:color w:val="000000"/>
          <w:szCs w:val="32"/>
          <w:highlight w:val="auto"/>
        </w:rPr>
        <w:t>（征求意见稿）</w:t>
      </w:r>
    </w:p>
    <w:p>
      <w:pPr>
        <w:pStyle w:val="33"/>
        <w:spacing w:line="560" w:lineRule="exact"/>
        <w:ind w:firstLineChars="200" w:firstLine="640"/>
        <w:rPr>
          <w:b/>
          <w:bCs w:val="0"/>
          <w:color w:val="000000"/>
          <w:szCs w:val="32"/>
          <w:highlight w:val="auto"/>
        </w:rPr>
      </w:pP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为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加强报关企业规范管理，进一</w:t>
      </w:r>
      <w:bookmarkStart w:id="0" w:name="_GoBack"/>
      <w:bookmarkEnd w:id="0"/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步明确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报关企业依法履行合理审查义务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的内容和要求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，现将有关事项公告如下：</w:t>
      </w: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一、报关企业接受进出口货物收发货人（以下简称收发货人）委托，办理申报手续时，应当按照《海关法》《海关进出口货物申报管理规定》等规定，对收发货人提供情况的真实性、有效性和完整性进行合理审查。</w:t>
      </w:r>
    </w:p>
    <w:p>
      <w:pPr>
        <w:pStyle w:val="34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二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、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报关企业应当运用报关专业知识，以行业从业者应尽的注意义务，对收发货人委托报关的事项进行内容核对和相互印证，在确保“单单相符、单证相符”的基础上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，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向海关办理申报手续。</w:t>
      </w: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三、报关企业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对收发货人所提供的情况应当按照以下要求开展审查：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 xml:space="preserve">（一）审查委托关系。 </w:t>
      </w:r>
    </w:p>
    <w:p>
      <w:pPr>
        <w:pStyle w:val="7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根据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收发货人提供的</w:t>
      </w:r>
      <w:r>
        <w:rPr>
          <w:rFonts w:ascii="方正仿宋_GBK" w:cs="方正仿宋_GBK"/>
          <w:b w:val="0"/>
          <w:bCs/>
          <w:color w:val="000000"/>
          <w:szCs w:val="32"/>
          <w:lang w:val="en-US" w:eastAsia="zh-CN"/>
          <w:highlight w:val="auto"/>
        </w:rPr>
        <w:t>市场主体名称、住所或者主要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经营场所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等相关信息，审查收发货人资质的合法性和有效性，确认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委托</w:t>
      </w:r>
      <w:r>
        <w:rPr>
          <w:rFonts w:ascii="方正仿宋_GBK" w:eastAsia="方正仿宋_GBK" w:cs="方正仿宋_GBK" w:hint="eastAsia"/>
          <w:b w:val="0"/>
          <w:bCs/>
          <w:color w:val="000000"/>
          <w:szCs w:val="32"/>
          <w:highlight w:val="auto"/>
        </w:rPr>
        <w:t>代理报关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关系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的真实性。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（二）审查品名、数（重）量、规格型号。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审查进出口货物品名、数（重）量、规格型号与合同、发票、运输单据、装箱清单等单据是否相符。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（三）审查商品编号</w:t>
      </w:r>
      <w:r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  <w:t>、</w:t>
      </w: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监管</w:t>
      </w:r>
      <w:r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  <w:t>类别</w:t>
      </w: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名称。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审查收发货人提供的进出口货物商品编号、监管类别名称与进出口货物相关资料是否相符。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（四）审查商品价格。</w:t>
      </w:r>
    </w:p>
    <w:p>
      <w:pPr>
        <w:pStyle w:val="36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根据合同、发票、运输单据、装箱清单等单据，审查申报价格是否合理；对明显不合理的，应当要求收发货人提供相关资料。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（五）审查许可证件、检验检疫证书及相关单证。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根据合同、发票、运输单据、装箱清单等单据，审查收发货人提供的许可证件、检验检疫证书及相关单证是否符合海关监管要求，有关信息是否一致。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（六）审查商品原产地。</w:t>
      </w:r>
    </w:p>
    <w:p>
      <w:pPr>
        <w:pStyle w:val="37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进口货物申报适用协定税率、特惠税率的，应当审查原产地证书等原产地证明文件、直接运输单据；进口货物涉及特别关税的，应当审查原产地证书等原产地证明文件，其中涉及反倾销税、反补贴税的，还应当审查原厂商发票等有关资料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（七）审查消费使用单位/生产销售单位。</w:t>
      </w:r>
    </w:p>
    <w:p>
      <w:pPr>
        <w:pStyle w:val="36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对于进出口货物申报地、入境/离境口岸与收发货人备案地均不相同的，应当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审查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消费使用单位/生产销售单位的信息与合同、发票、运输单据、监管证件是否相符。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楷体_GBK" w:eastAsia="方正楷体_GBK" w:cs="方正楷体_GBK"/>
          <w:b/>
          <w:bCs w:val="0"/>
          <w:color w:val="000000"/>
          <w:szCs w:val="32"/>
          <w:highlight w:val="auto"/>
        </w:rPr>
      </w:pPr>
      <w:r>
        <w:rPr>
          <w:rFonts w:ascii="方正楷体_GBK" w:eastAsia="方正楷体_GBK" w:cs="方正楷体_GBK" w:hint="eastAsia"/>
          <w:b/>
          <w:bCs w:val="0"/>
          <w:color w:val="000000"/>
          <w:szCs w:val="32"/>
          <w:highlight w:val="auto"/>
        </w:rPr>
        <w:t>（八）审查逻辑关系。</w:t>
      </w: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审查《海关进出口货物报关单填制规范》所列明的报关单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申报项目之间，以及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申报项目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与相关单证信息之间的逻辑关系是否合理。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报关企业接受跨境电商企业委托，向海关申报《跨境电子商务零售进出口商品申报清单》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的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，应当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参照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本公告要求履行合理审查义务。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四、报关企业在审查过程中，发现单证信息、申报项目等明显异常，应当要求收发货人补充提交相关</w:t>
      </w:r>
      <w:r>
        <w:rPr>
          <w:rFonts w:ascii="方正仿宋_GBK" w:cs="方正仿宋_GBK" w:hint="eastAsia"/>
          <w:b w:val="0"/>
          <w:bCs/>
          <w:color w:val="000000"/>
          <w:szCs w:val="32"/>
          <w:lang w:eastAsia="zh-CN"/>
          <w:highlight w:val="auto"/>
        </w:rPr>
        <w:t>材料</w:t>
      </w:r>
      <w:r>
        <w:rPr>
          <w:rFonts w:ascii="方正仿宋_GBK" w:cs="方正仿宋_GBK" w:hint="eastAsia"/>
          <w:b w:val="0"/>
          <w:bCs/>
          <w:color w:val="000000"/>
          <w:szCs w:val="32"/>
          <w:lang w:val="en-US" w:eastAsia="zh-CN"/>
          <w:highlight w:val="auto"/>
        </w:rPr>
        <w:t>或者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作出合理说明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，并经收发货人确认后再行申报。</w:t>
      </w:r>
    </w:p>
    <w:p>
      <w:pPr>
        <w:pStyle w:val="35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五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、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报关企业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应当审查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出口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报关单申报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货物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是否属于出口管制物项，对审查认为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可能属于出口管制物项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的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，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应当</w:t>
      </w:r>
      <w:r>
        <w:rPr>
          <w:rFonts w:ascii="方正仿宋_GBK" w:cs="方正仿宋_GBK" w:hint="eastAsia"/>
          <w:b w:val="0"/>
          <w:bCs/>
          <w:color w:val="000000"/>
          <w:szCs w:val="32"/>
          <w:lang w:eastAsia="zh-CN"/>
          <w:highlight w:val="auto"/>
        </w:rPr>
        <w:t>要求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出口货物发货人补充提交产品说明书、检测报告</w:t>
      </w:r>
      <w:r>
        <w:rPr>
          <w:rFonts w:ascii="方正仿宋_GBK" w:cs="方正仿宋_GBK" w:hint="eastAsia"/>
          <w:b w:val="0"/>
          <w:bCs/>
          <w:color w:val="000000"/>
          <w:szCs w:val="32"/>
          <w:lang w:eastAsia="zh-CN"/>
          <w:highlight w:val="auto"/>
        </w:rPr>
        <w:t>、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国家出口管制管理部门依据《出口管制法》出具的答复材料</w:t>
      </w:r>
      <w:r>
        <w:rPr>
          <w:rFonts w:ascii="方正仿宋_GBK" w:cs="方正仿宋_GBK"/>
          <w:b w:val="0"/>
          <w:bCs/>
          <w:color w:val="000000"/>
          <w:szCs w:val="32"/>
          <w:lang w:eastAsia="zh-CN"/>
          <w:highlight w:val="auto"/>
        </w:rPr>
        <w:t>，</w:t>
      </w:r>
      <w:r>
        <w:rPr>
          <w:rFonts w:ascii="方正仿宋_GBK" w:cs="方正仿宋_GBK"/>
          <w:b w:val="0"/>
          <w:bCs/>
          <w:color w:val="000000"/>
          <w:szCs w:val="32"/>
          <w:lang w:val="en-US" w:eastAsia="zh-CN"/>
          <w:highlight w:val="auto"/>
        </w:rPr>
        <w:t>或者</w:t>
      </w:r>
      <w:r>
        <w:rPr>
          <w:rFonts w:ascii="方正仿宋_GBK" w:eastAsia="方正仿宋_GBK" w:cs="方正仿宋_GBK"/>
          <w:b w:val="0"/>
          <w:bCs/>
          <w:color w:val="000000"/>
          <w:szCs w:val="32"/>
          <w:lang w:eastAsia="zh-CN"/>
          <w:highlight w:val="auto"/>
        </w:rPr>
        <w:t>要求</w:t>
      </w:r>
      <w:r>
        <w:rPr>
          <w:rFonts w:ascii="方正仿宋_GBK" w:eastAsia="方正仿宋_GBK" w:cs="方正仿宋_GBK"/>
          <w:b w:val="0"/>
          <w:bCs/>
          <w:color w:val="000000"/>
          <w:szCs w:val="32"/>
          <w:highlight w:val="auto"/>
        </w:rPr>
        <w:t>出口货物发货人</w:t>
      </w:r>
      <w:r>
        <w:rPr>
          <w:rFonts w:ascii="方正仿宋_GBK" w:eastAsia="方正仿宋_GBK" w:cs="方正仿宋_GBK"/>
          <w:b w:val="0"/>
          <w:bCs/>
          <w:color w:val="000000"/>
          <w:szCs w:val="32"/>
          <w:lang w:val="en-US" w:eastAsia="zh-CN"/>
          <w:highlight w:val="auto"/>
        </w:rPr>
        <w:t>作出合理说明</w:t>
      </w:r>
      <w:r>
        <w:rPr>
          <w:rFonts w:ascii="方正仿宋_GBK" w:cs="方正仿宋_GBK" w:hint="eastAsia"/>
          <w:b w:val="0"/>
          <w:bCs/>
          <w:color w:val="000000"/>
          <w:szCs w:val="32"/>
          <w:lang w:val="en-US" w:eastAsia="zh-CN"/>
          <w:highlight w:val="auto"/>
        </w:rPr>
        <w:t>，并经</w:t>
      </w: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出口货物发货人确认后再行申报。</w:t>
      </w: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/>
          <w:b w:val="0"/>
          <w:bCs/>
          <w:color w:val="000000"/>
          <w:szCs w:val="32"/>
          <w:highlight w:val="auto"/>
        </w:rPr>
        <w:t>六</w:t>
      </w: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、报关企业在接受委托或者履行合理审查义务过程中，收发货人不能提供必要的资料、单据、单证，或者报关企业有合理理由认为委托事项涉嫌违法的，应当拒绝委托或者终止办理已接受的委托业务。</w:t>
      </w:r>
    </w:p>
    <w:p>
      <w:pPr>
        <w:pStyle w:val="38"/>
        <w:adjustRightInd w:val="0"/>
        <w:snapToGrid w:val="0"/>
        <w:spacing w:line="560" w:lineRule="exact"/>
        <w:ind w:left="0" w:firstLineChars="200" w:firstLine="640"/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报关企业发现收发货人委托事项存在违法嫌疑的，有权向海关举报。</w:t>
      </w:r>
    </w:p>
    <w:p>
      <w:pPr>
        <w:pStyle w:val="38"/>
        <w:adjustRightInd w:val="0"/>
        <w:snapToGrid w:val="0"/>
        <w:spacing w:line="560" w:lineRule="exact"/>
        <w:ind w:left="0" w:firstLineChars="200" w:firstLine="640"/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七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、报关企业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应当根据海关要求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，提交证明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其已经履行合理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审查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义务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的相关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资料、单据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、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单证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前款规定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的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相关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资料、单据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、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单证，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报关企业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应当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lang w:val="en-US" w:eastAsia="zh-CN"/>
          <w:highlight w:val="auto"/>
        </w:rPr>
        <w:t>依据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有关法律、行政法规规定的保管期限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妥善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保管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报关企业依据本公告规定进行合理审查，并提交书证、视听资料、电子数据等证明材料的，海关依法予以认可。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八、海关对报关企业依法履行合理审查义务、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拒绝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委托或者终止委托、举报违法嫌疑、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妥善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保管资料等情况，纳入企业信用管理状况评估，并实施信用分级分类管理。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报关企业因收发货人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委托事项涉嫌违法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而拒绝委托、终止委托或者依法举报的，在申请高级认证企业或者认证企业时，海关优先实施信用培育和认证。</w:t>
      </w:r>
    </w:p>
    <w:p>
      <w:pPr>
        <w:spacing w:line="560" w:lineRule="exact"/>
        <w:ind w:firstLineChars="200" w:firstLine="640"/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</w:pP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报关企业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lang w:bidi="ar-SA"/>
          <w:highlight w:val="auto"/>
        </w:rPr>
        <w:t>未按照本公告要求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对收发货人所提供情况的真实性进行合理审查，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lang w:val="en-US" w:eastAsia="zh-CN"/>
          <w:highlight w:val="auto"/>
        </w:rPr>
        <w:t>违反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《海关行政处罚实施条例》《进出口商品检验法实施条例》等规定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lang w:val="en-US" w:eastAsia="zh-CN"/>
          <w:highlight w:val="auto"/>
        </w:rPr>
        <w:t>的，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海关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予以处罚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，并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依法</w:t>
      </w:r>
      <w:r>
        <w:rPr>
          <w:rFonts w:ascii="方正仿宋_GBK" w:eastAsia="方正仿宋_GBK" w:cs="方正仿宋_GBK"/>
          <w:b w:val="0"/>
          <w:bCs/>
          <w:color w:val="000000"/>
          <w:sz w:val="32"/>
          <w:szCs w:val="32"/>
          <w:highlight w:val="auto"/>
        </w:rPr>
        <w:t>调整企业信用等级</w:t>
      </w:r>
      <w:r>
        <w:rPr>
          <w:rFonts w:ascii="方正仿宋_GBK" w:eastAsia="方正仿宋_GBK" w:cs="方正仿宋_GBK" w:hint="eastAsia"/>
          <w:b w:val="0"/>
          <w:bCs/>
          <w:color w:val="000000"/>
          <w:sz w:val="32"/>
          <w:szCs w:val="32"/>
          <w:highlight w:val="auto"/>
        </w:rPr>
        <w:t>。</w:t>
      </w:r>
    </w:p>
    <w:p>
      <w:pPr>
        <w:spacing w:line="560" w:lineRule="exact"/>
        <w:ind w:firstLineChars="200" w:firstLine="640"/>
        <w:rPr>
          <w:rFonts w:eastAsia="方正仿宋_GBK" w:cs="Times New Roman"/>
          <w:b w:val="0"/>
          <w:bCs/>
          <w:color w:val="000000"/>
          <w:sz w:val="32"/>
          <w:szCs w:val="32"/>
          <w:highlight w:val="auto"/>
        </w:rPr>
      </w:pPr>
      <w:r>
        <w:rPr>
          <w:rFonts w:eastAsia="方正仿宋_GBK" w:cs="Times New Roman"/>
          <w:b w:val="0"/>
          <w:bCs/>
          <w:color w:val="000000"/>
          <w:sz w:val="32"/>
          <w:szCs w:val="32"/>
          <w:highlight w:val="auto"/>
        </w:rPr>
        <w:t>本公告自2026年X月X日起实施。</w:t>
      </w:r>
    </w:p>
    <w:p>
      <w:pPr>
        <w:pStyle w:val="33"/>
        <w:adjustRightInd w:val="0"/>
        <w:snapToGrid w:val="0"/>
        <w:spacing w:line="560" w:lineRule="exact"/>
        <w:ind w:firstLineChars="200" w:firstLine="640"/>
        <w:rPr>
          <w:rFonts w:ascii="方正仿宋_GBK" w:cs="方正仿宋_GBK"/>
          <w:b w:val="0"/>
          <w:bCs/>
          <w:color w:val="000000"/>
          <w:szCs w:val="32"/>
          <w:highlight w:val="auto"/>
        </w:rPr>
      </w:pPr>
      <w:r>
        <w:rPr>
          <w:rFonts w:ascii="方正仿宋_GBK" w:cs="方正仿宋_GBK" w:hint="eastAsia"/>
          <w:b w:val="0"/>
          <w:bCs/>
          <w:color w:val="000000"/>
          <w:szCs w:val="32"/>
          <w:highlight w:val="auto"/>
        </w:rPr>
        <w:t>特此公告。</w:t>
      </w:r>
    </w:p>
    <w:p>
      <w:pPr>
        <w:spacing w:line="560" w:lineRule="exact"/>
        <w:ind w:firstLineChars="200" w:firstLine="720"/>
        <w:rPr>
          <w:b/>
          <w:bCs w:val="0"/>
          <w:color w:val="000000"/>
          <w:sz w:val="36"/>
          <w:szCs w:val="36"/>
          <w:highlight w:val="auto"/>
        </w:rPr>
      </w:pPr>
    </w:p>
    <w:sectPr>
      <w:footerReference w:type="default" r:id="rId2"/>
      <w:footerReference w:type="even" r:id="rId3"/>
      <w:footerReference w:type="first" r:id="rId4"/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Noto Naskh Arabic"/>
    <w:panose1 w:val="020B0602030504020204"/>
    <w:charset w:val="00"/>
    <w:family w:val="swiss"/>
    <w:pitch w:val="variable"/>
    <w:sig w:usb0="00000000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margin" w:xAlign="center" w:y="1" w:anchorLock="0"/>
      <w:tabs>
        <w:tab w:val="center" w:pos="4153"/>
        <w:tab w:val="right" w:pos="8307"/>
      </w:tabs>
      <w:rPr>
        <w:rFonts w:ascii="宋体" w:cs="宋体"/>
        <w:sz w:val="28"/>
        <w:szCs w:val="28"/>
      </w:rPr>
    </w:pPr>
    <w:r>
      <w:rPr>
        <w:rStyle w:val="31"/>
        <w:rFonts w:ascii="宋体" w:cs="宋体" w:hint="eastAsia"/>
        <w:sz w:val="28"/>
        <w:szCs w:val="28"/>
      </w:rPr>
      <w:fldChar w:fldCharType="begin"/>
    </w:r>
    <w:r>
      <w:rPr>
        <w:rStyle w:val="31"/>
        <w:rFonts w:ascii="宋体" w:cs="宋体" w:hint="eastAsia"/>
        <w:sz w:val="28"/>
        <w:szCs w:val="28"/>
      </w:rPr>
      <w:instrText>Page</w:instrText>
    </w:r>
    <w:r>
      <w:rPr>
        <w:rStyle w:val="31"/>
        <w:rFonts w:ascii="宋体" w:cs="宋体" w:hint="eastAsia"/>
        <w:sz w:val="28"/>
        <w:szCs w:val="28"/>
      </w:rPr>
      <w:fldChar w:fldCharType="separate"/>
    </w:r>
    <w:r>
      <w:rPr>
        <w:rStyle w:val="31"/>
        <w:rFonts w:ascii="宋体" w:cs="宋体"/>
        <w:sz w:val="28"/>
        <w:szCs w:val="28"/>
      </w:rPr>
      <w:t>5</w:t>
    </w:r>
    <w:r>
      <w:rPr>
        <w:rStyle w:val="31"/>
        <w:rFonts w:ascii="宋体" w:cs="宋体" w:hint="eastAsia"/>
        <w:sz w:val="28"/>
        <w:szCs w:val="28"/>
      </w:rPr>
      <w:fldChar w:fldCharType="end"/>
    </w:r>
  </w:p>
  <w:p>
    <w:pPr>
      <w:pStyle w:val="22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31"/>
      </w:rPr>
      <w:fldChar w:fldCharType="begin"/>
    </w:r>
    <w:r>
      <w:rPr>
        <w:rStyle w:val="31"/>
      </w:rPr>
      <w:instrText>Page</w:instrText>
    </w:r>
    <w:r>
      <w:rPr>
        <w:rStyle w:val="31"/>
      </w:rPr>
      <w:fldChar w:fldCharType="separate"/>
    </w:r>
    <w:r>
      <w:rPr>
        <w:rStyle w:val="31"/>
      </w:rPr>
      <w:t>1</w:t>
    </w:r>
    <w:r>
      <w:rPr>
        <w:rStyle w:val="31"/>
      </w:rPr>
      <w:fldChar w:fldCharType="end"/>
    </w:r>
  </w:p>
  <w:p>
    <w:pPr>
      <w:pStyle w:val="22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31"/>
      </w:rPr>
      <w:fldChar w:fldCharType="begin"/>
    </w:r>
    <w:r>
      <w:rPr>
        <w:rStyle w:val="31"/>
      </w:rPr>
      <w:instrText>Page</w:instrText>
    </w:r>
    <w:r>
      <w:rPr>
        <w:rStyle w:val="31"/>
      </w:rPr>
      <w:fldChar w:fldCharType="separate"/>
    </w:r>
    <w:r>
      <w:rPr>
        <w:rStyle w:val="31"/>
      </w:rPr>
      <w:t>1</w:t>
    </w:r>
    <w:r>
      <w:rPr>
        <w:rStyle w:val="31"/>
      </w:rPr>
      <w:fldChar w:fldCharType="end"/>
    </w:r>
  </w:p>
  <w:p>
    <w:pPr>
      <w:pStyle w:val="22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54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cs="Lucida Sans" w:hAnsi="Courier New"/>
      <w:sz w:val="24"/>
      <w:szCs w:val="24"/>
      <w:lang w:val="en-US" w:eastAsia="zh-CN" w:bidi="ar-SA"/>
    </w:rPr>
  </w:style>
  <w:style w:type="paragraph" w:styleId="16">
    <w:name w:val="index 8"/>
    <w:basedOn w:val="0"/>
    <w:autoRedefine/>
    <w:next w:val="0"/>
    <w:pPr>
      <w:ind w:left="2940"/>
    </w:pPr>
  </w:style>
  <w:style w:type="paragraph" w:styleId="17">
    <w:name w:val="index 5"/>
    <w:autoRedefine/>
    <w:next w:val="0"/>
    <w:pPr>
      <w:widowControl w:val="0"/>
      <w:ind w:left="1680"/>
      <w:jc w:val="both"/>
    </w:pPr>
    <w:rPr>
      <w:rFonts w:ascii="方正楷体_GBK" w:eastAsia="方正楷体_GBK" w:cs="方正楷体_GBK"/>
      <w:b/>
      <w:bCs/>
      <w:kern w:val="2"/>
      <w:sz w:val="36"/>
      <w:szCs w:val="36"/>
      <w:lang w:val="en-US" w:eastAsia="zh-CN" w:bidi="ar-SA"/>
    </w:rPr>
  </w:style>
  <w:style w:type="paragraph" w:styleId="18">
    <w:name w:val="toa heading"/>
    <w:basedOn w:val="0"/>
    <w:next w:val="0"/>
    <w:pPr>
      <w:spacing w:before="120"/>
    </w:pPr>
    <w:rPr>
      <w:sz w:val="24"/>
      <w:szCs w:val="24"/>
    </w:rPr>
  </w:style>
  <w:style w:type="paragraph" w:styleId="19">
    <w:name w:val="annotation text"/>
    <w:basedOn w:val="0"/>
    <w:pPr>
      <w:jc w:val="left"/>
    </w:pPr>
  </w:style>
  <w:style w:type="paragraph" w:styleId="20">
    <w:name w:val="index 6"/>
    <w:basedOn w:val="0"/>
    <w:autoRedefine/>
    <w:next w:val="0"/>
    <w:pPr>
      <w:ind w:left="2100"/>
    </w:pPr>
  </w:style>
  <w:style w:type="paragraph" w:styleId="21">
    <w:name w:val="Balloon Text"/>
    <w:basedOn w:val="0"/>
    <w:rPr>
      <w:sz w:val="18"/>
      <w:szCs w:val="18"/>
    </w:rPr>
  </w:style>
  <w:style w:type="paragraph" w:styleId="22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23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0"/>
    <w:autoRedefine/>
    <w:next w:val="0"/>
  </w:style>
  <w:style w:type="paragraph" w:styleId="25">
    <w:name w:val="toc 4"/>
    <w:basedOn w:val="0"/>
    <w:autoRedefine/>
    <w:next w:val="0"/>
    <w:pPr>
      <w:ind w:left="1260"/>
    </w:pPr>
  </w:style>
  <w:style w:type="paragraph" w:styleId="26">
    <w:name w:val="List"/>
    <w:basedOn w:val="0"/>
    <w:pPr>
      <w:ind w:left="420" w:hanging="420"/>
    </w:pPr>
  </w:style>
  <w:style w:type="paragraph" w:styleId="27">
    <w:name w:val="index 7"/>
    <w:basedOn w:val="0"/>
    <w:autoRedefine/>
    <w:next w:val="0"/>
    <w:pPr>
      <w:ind w:left="2520"/>
    </w:pPr>
  </w:style>
  <w:style w:type="paragraph" w:styleId="28">
    <w:name w:val="index 9"/>
    <w:basedOn w:val="0"/>
    <w:autoRedefine/>
    <w:next w:val="0"/>
    <w:pPr>
      <w:ind w:left="3360"/>
    </w:pPr>
  </w:style>
  <w:style w:type="paragraph" w:styleId="29">
    <w:name w:val="table of figures"/>
    <w:basedOn w:val="0"/>
    <w:next w:val="0"/>
  </w:style>
  <w:style w:type="paragraph" w:styleId="30">
    <w:name w:val="toc 2"/>
    <w:basedOn w:val="0"/>
    <w:autoRedefine/>
    <w:next w:val="0"/>
    <w:pPr>
      <w:ind w:left="420"/>
    </w:pPr>
  </w:style>
  <w:style w:type="character" w:styleId="31">
    <w:name w:val="page number"/>
    <w:basedOn w:val="10"/>
  </w:style>
  <w:style w:type="paragraph" w:customStyle="1" w:styleId="32">
    <w:name w:val="样式 1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3">
    <w:name w:val="样式 11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">
    <w:name w:val="样式 1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">
    <w:name w:val="样式 13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">
    <w:name w:val="样式 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">
    <w:name w:val="样式 2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5 10 磅"/>
    <w:pPr>
      <w:widowControl w:val="0"/>
      <w:ind w:left="84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三号"/>
    <w:next w:val="3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0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3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5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6">
    <w:name w:val="样式 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7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1">
    <w:name w:val="样式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2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3">
    <w:name w:val="样式 1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4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5">
    <w:name w:val="样式 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4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6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8">
    <w:name w:val="样式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59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0">
    <w:name w:val="样式 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1">
    <w:name w:val="样式 1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2">
    <w:name w:val="样式 8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63">
    <w:name w:val="样式 1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1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1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1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7">
    <w:name w:val="样式 2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9">
    <w:name w:val="样式 2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0">
    <w:name w:val="样式 2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1">
    <w:name w:val="样式 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2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3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4">
    <w:name w:val="样式 2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5">
    <w:name w:val="样式 2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3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7">
    <w:name w:val="样式 3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8">
    <w:name w:val="样式 3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9">
    <w:name w:val="样式 3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3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1">
    <w:name w:val="样式 3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2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3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4">
    <w:name w:val="样式 3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5">
    <w:name w:val="样式 3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4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9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88">
    <w:name w:val="样式 4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9">
    <w:name w:val="样式 10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0">
    <w:name w:val="样式 11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1">
    <w:name w:val="样式 1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2">
    <w:name w:val="样式 1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93">
    <w:name w:val="样式 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151</TotalTime>
  <Application>Yozo_Office</Application>
  <Pages>4</Pages>
  <Words>1674</Words>
  <Characters>1677</Characters>
  <Lines>85</Lines>
  <Paragraphs>35</Paragraphs>
  <CharactersWithSpaces>1678</CharactersWithSpaces>
  <Company>njhg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苏宇</dc:creator>
  <cp:lastModifiedBy>刘欣棉（外部)</cp:lastModifiedBy>
  <cp:revision>6</cp:revision>
  <cp:lastPrinted>2026-05-08T02:34:00Z</cp:lastPrinted>
  <dcterms:created xsi:type="dcterms:W3CDTF">2026-04-09T01:39:00Z</dcterms:created>
  <dcterms:modified xsi:type="dcterms:W3CDTF">2026-05-14T10:05:52Z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D8C66F28DA0A01EE18D1016A1C6AD2BB_43</vt:lpwstr>
  </property>
  <property fmtid="{D5CDD505-2E9C-101B-9397-08002B2CF9AE}" pid="4" name="KSOTemplateDocerSaveRecord">
    <vt:lpwstr>eyJoZGlkIjoiZWY5YWJlZTczMzE2N2FhOGUzMDFlZjIxNjYyMGE3NjEiLCJ1c2VySWQiOiI0OTgxNTMxMDkifQ==</vt:lpwstr>
  </property>
</Properties>
</file>