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9DC4">
      <w:pPr>
        <w:rPr>
          <w:rFonts w:hint="eastAsia" w:ascii="黑体" w:hAnsi="黑体" w:eastAsia="黑体"/>
          <w:sz w:val="30"/>
        </w:rPr>
      </w:pPr>
      <w:r>
        <w:rPr>
          <w:rFonts w:hint="eastAsia" w:ascii="黑体" w:hAnsi="黑体" w:eastAsia="黑体"/>
          <w:sz w:val="30"/>
        </w:rPr>
        <w:t>附件1</w:t>
      </w:r>
    </w:p>
    <w:p w14:paraId="400DED72">
      <w:pPr>
        <w:ind w:firstLine="640" w:firstLineChars="200"/>
        <w:rPr>
          <w:rFonts w:hint="eastAsia" w:ascii="黑体" w:hAnsi="黑体" w:eastAsia="黑体"/>
          <w:szCs w:val="32"/>
        </w:rPr>
      </w:pPr>
    </w:p>
    <w:p w14:paraId="4822A8F3">
      <w:pPr>
        <w:jc w:val="center"/>
        <w:rPr>
          <w:rFonts w:hint="eastAsia" w:ascii="方正小标宋简体" w:hAnsi="华文中宋" w:eastAsia="方正小标宋简体"/>
          <w:b/>
          <w:sz w:val="44"/>
          <w:szCs w:val="44"/>
        </w:rPr>
      </w:pPr>
      <w:r>
        <w:rPr>
          <w:rFonts w:hint="eastAsia" w:ascii="方正小标宋简体" w:hAnsi="华文中宋" w:eastAsia="方正小标宋简体"/>
          <w:sz w:val="44"/>
          <w:szCs w:val="44"/>
        </w:rPr>
        <w:t>2026年度行业自律检查工作方案</w:t>
      </w:r>
    </w:p>
    <w:p w14:paraId="74B85F98">
      <w:pPr>
        <w:ind w:firstLine="640" w:firstLineChars="200"/>
        <w:rPr>
          <w:rFonts w:hint="eastAsia" w:ascii="黑体" w:hAnsi="黑体" w:eastAsia="黑体"/>
          <w:szCs w:val="32"/>
        </w:rPr>
      </w:pPr>
    </w:p>
    <w:p w14:paraId="60384AF2">
      <w:pPr>
        <w:spacing w:line="620" w:lineRule="exact"/>
        <w:ind w:firstLine="640" w:firstLineChars="200"/>
        <w:rPr>
          <w:rFonts w:hint="eastAsia" w:ascii="黑体" w:hAnsi="黑体" w:eastAsia="黑体"/>
          <w:szCs w:val="32"/>
        </w:rPr>
      </w:pPr>
      <w:r>
        <w:rPr>
          <w:rFonts w:ascii="黑体" w:hAnsi="黑体" w:eastAsia="黑体"/>
          <w:szCs w:val="32"/>
        </w:rPr>
        <w:t>一</w:t>
      </w:r>
      <w:r>
        <w:rPr>
          <w:rFonts w:hint="eastAsia" w:ascii="黑体" w:hAnsi="黑体" w:eastAsia="黑体"/>
          <w:szCs w:val="32"/>
        </w:rPr>
        <w:t>、</w:t>
      </w:r>
      <w:r>
        <w:rPr>
          <w:rFonts w:ascii="黑体" w:hAnsi="黑体" w:eastAsia="黑体"/>
          <w:szCs w:val="32"/>
        </w:rPr>
        <w:t>检查内容</w:t>
      </w:r>
    </w:p>
    <w:p w14:paraId="177F5CA6">
      <w:pPr>
        <w:spacing w:line="620" w:lineRule="exact"/>
        <w:ind w:firstLine="640" w:firstLineChars="200"/>
        <w:rPr>
          <w:rFonts w:hint="eastAsia" w:ascii="仿宋" w:hAnsi="仿宋"/>
          <w:szCs w:val="32"/>
        </w:rPr>
      </w:pPr>
      <w:r>
        <w:rPr>
          <w:rFonts w:hint="eastAsia" w:ascii="仿宋" w:hAnsi="仿宋"/>
          <w:szCs w:val="32"/>
        </w:rPr>
        <w:t>1.法律法规和规章制度遵守情况。检查资产评估机构是否持续满足《中华人民共和国资产评估法》及《资产评估行业财政监督管理办法》规定的设立条件；资产评估机构是否按照规定进行备案；合伙人或股东任职资格合规情况；是否存在兼职、挂名执业的资产评估师</w:t>
      </w:r>
      <w:r>
        <w:rPr>
          <w:rFonts w:hint="eastAsia" w:ascii="仿宋" w:hAnsi="仿宋"/>
          <w:szCs w:val="32"/>
          <w:lang w:eastAsia="zh-CN"/>
        </w:rPr>
        <w:t>；</w:t>
      </w:r>
      <w:r>
        <w:rPr>
          <w:rFonts w:hint="eastAsia" w:ascii="仿宋" w:hAnsi="仿宋"/>
          <w:szCs w:val="32"/>
        </w:rPr>
        <w:t>内部管理制度建立及执行情况等。</w:t>
      </w:r>
    </w:p>
    <w:p w14:paraId="169F5FE4">
      <w:pPr>
        <w:spacing w:line="620" w:lineRule="exact"/>
        <w:ind w:firstLine="640" w:firstLineChars="200"/>
        <w:rPr>
          <w:rFonts w:hint="eastAsia" w:ascii="仿宋" w:hAnsi="仿宋"/>
          <w:szCs w:val="32"/>
        </w:rPr>
      </w:pPr>
      <w:r>
        <w:rPr>
          <w:rFonts w:hint="eastAsia" w:ascii="仿宋" w:hAnsi="仿宋"/>
          <w:szCs w:val="32"/>
        </w:rPr>
        <w:t>2.</w:t>
      </w:r>
      <w:r>
        <w:rPr>
          <w:rFonts w:hint="eastAsia" w:ascii="仿宋" w:hAnsi="仿宋"/>
          <w:szCs w:val="32"/>
          <w:lang w:val="en-US" w:eastAsia="zh-CN"/>
        </w:rPr>
        <w:t>资产</w:t>
      </w:r>
      <w:r>
        <w:rPr>
          <w:rFonts w:hint="eastAsia" w:ascii="仿宋" w:hAnsi="仿宋"/>
          <w:szCs w:val="32"/>
        </w:rPr>
        <w:t>评估准则执行情况</w:t>
      </w:r>
      <w:r>
        <w:rPr>
          <w:rFonts w:hint="eastAsia" w:ascii="仿宋" w:hAnsi="仿宋"/>
          <w:szCs w:val="32"/>
          <w:lang w:eastAsia="zh-CN"/>
        </w:rPr>
        <w:t>。</w:t>
      </w:r>
      <w:r>
        <w:rPr>
          <w:rFonts w:hint="eastAsia" w:ascii="仿宋" w:hAnsi="仿宋"/>
          <w:szCs w:val="32"/>
          <w:lang w:val="en-US" w:eastAsia="zh-CN"/>
        </w:rPr>
        <w:t>检查</w:t>
      </w:r>
      <w:r>
        <w:rPr>
          <w:rFonts w:hint="eastAsia" w:ascii="仿宋" w:hAnsi="仿宋"/>
          <w:szCs w:val="32"/>
        </w:rPr>
        <w:t>履行</w:t>
      </w:r>
      <w:r>
        <w:rPr>
          <w:rFonts w:hint="eastAsia" w:ascii="仿宋" w:hAnsi="仿宋"/>
          <w:szCs w:val="32"/>
          <w:lang w:val="en-US" w:eastAsia="zh-CN"/>
        </w:rPr>
        <w:t>基本准则、职业道德准则、执业准则情况</w:t>
      </w:r>
      <w:r>
        <w:rPr>
          <w:rFonts w:hint="eastAsia" w:ascii="仿宋" w:hAnsi="仿宋"/>
          <w:szCs w:val="32"/>
        </w:rPr>
        <w:t>。</w:t>
      </w:r>
    </w:p>
    <w:p w14:paraId="5F01FC39">
      <w:pPr>
        <w:spacing w:line="620" w:lineRule="exact"/>
        <w:ind w:firstLine="640" w:firstLineChars="200"/>
        <w:rPr>
          <w:rFonts w:hint="eastAsia" w:ascii="仿宋" w:hAnsi="仿宋"/>
          <w:szCs w:val="32"/>
        </w:rPr>
      </w:pPr>
      <w:r>
        <w:rPr>
          <w:rFonts w:hint="eastAsia" w:ascii="仿宋" w:hAnsi="仿宋"/>
          <w:szCs w:val="32"/>
        </w:rPr>
        <w:t>3.内部治理情况。检查是否按照规定建立质量控制体系，重点关注质控岗位设置、业务承接、项目执行、报告审核、</w:t>
      </w:r>
      <w:r>
        <w:rPr>
          <w:rFonts w:hint="eastAsia" w:ascii="仿宋" w:hAnsi="仿宋"/>
          <w:szCs w:val="32"/>
          <w:lang w:val="en-US" w:eastAsia="zh-CN"/>
        </w:rPr>
        <w:t>业务报备、</w:t>
      </w:r>
      <w:r>
        <w:rPr>
          <w:rFonts w:hint="eastAsia" w:ascii="仿宋" w:hAnsi="仿宋"/>
          <w:szCs w:val="32"/>
        </w:rPr>
        <w:t>报告出具、档案管理等实施情况，是否存在低价项目影响评估质量的问题等。重点关注评估机构是否建立风险防控制度；是否足额计提职业风险基金或购买职业保险。</w:t>
      </w:r>
    </w:p>
    <w:p w14:paraId="0C1214EA">
      <w:pPr>
        <w:spacing w:line="620" w:lineRule="exact"/>
        <w:ind w:firstLine="640" w:firstLineChars="200"/>
        <w:rPr>
          <w:rFonts w:hint="eastAsia" w:ascii="仿宋" w:hAnsi="仿宋"/>
          <w:szCs w:val="32"/>
        </w:rPr>
      </w:pPr>
      <w:r>
        <w:rPr>
          <w:rFonts w:hint="eastAsia" w:ascii="仿宋" w:hAnsi="仿宋"/>
          <w:szCs w:val="32"/>
        </w:rPr>
        <w:t>4.专业胜任能力。重点关注已备案评估机构是否具备相关的专业知识，以及由此导致的胜任能力不足和执业质量问题。</w:t>
      </w:r>
    </w:p>
    <w:p w14:paraId="7643D3AF">
      <w:pPr>
        <w:spacing w:line="620" w:lineRule="exact"/>
        <w:ind w:firstLine="640" w:firstLineChars="200"/>
        <w:rPr>
          <w:rFonts w:hint="eastAsia" w:ascii="仿宋" w:hAnsi="仿宋"/>
          <w:szCs w:val="32"/>
        </w:rPr>
      </w:pPr>
      <w:r>
        <w:rPr>
          <w:rFonts w:ascii="仿宋" w:hAnsi="仿宋"/>
          <w:szCs w:val="32"/>
        </w:rPr>
        <w:t>5</w:t>
      </w:r>
      <w:r>
        <w:rPr>
          <w:rFonts w:hint="eastAsia" w:ascii="仿宋" w:hAnsi="仿宋"/>
          <w:szCs w:val="32"/>
        </w:rPr>
        <w:t>.其他内容。</w:t>
      </w:r>
      <w:r>
        <w:rPr>
          <w:rFonts w:hint="eastAsia" w:ascii="仿宋" w:hAnsi="仿宋" w:eastAsia="仿宋" w:cs="仿宋"/>
          <w:sz w:val="32"/>
          <w:szCs w:val="32"/>
        </w:rPr>
        <w:t>重点关注涉及国有资产</w:t>
      </w:r>
      <w:r>
        <w:rPr>
          <w:rFonts w:hint="eastAsia" w:ascii="仿宋" w:hAnsi="仿宋" w:cs="仿宋"/>
          <w:sz w:val="32"/>
          <w:szCs w:val="32"/>
          <w:lang w:val="en-US" w:eastAsia="zh-CN"/>
        </w:rPr>
        <w:t>评估</w:t>
      </w:r>
      <w:r>
        <w:rPr>
          <w:rFonts w:hint="eastAsia" w:ascii="仿宋" w:hAnsi="仿宋" w:eastAsia="仿宋" w:cs="仿宋"/>
          <w:sz w:val="32"/>
          <w:szCs w:val="32"/>
        </w:rPr>
        <w:t>、金融</w:t>
      </w:r>
      <w:r>
        <w:rPr>
          <w:rFonts w:hint="eastAsia" w:ascii="仿宋" w:hAnsi="仿宋" w:cs="仿宋"/>
          <w:sz w:val="32"/>
          <w:szCs w:val="32"/>
          <w:lang w:val="en-US" w:eastAsia="zh-CN"/>
        </w:rPr>
        <w:t>资产</w:t>
      </w:r>
      <w:r>
        <w:rPr>
          <w:rFonts w:hint="eastAsia" w:ascii="仿宋" w:hAnsi="仿宋" w:eastAsia="仿宋" w:cs="仿宋"/>
          <w:sz w:val="32"/>
          <w:szCs w:val="32"/>
        </w:rPr>
        <w:t>评估</w:t>
      </w:r>
      <w:r>
        <w:rPr>
          <w:rFonts w:hint="eastAsia" w:ascii="仿宋" w:hAnsi="仿宋" w:cs="仿宋"/>
          <w:sz w:val="32"/>
          <w:szCs w:val="32"/>
          <w:lang w:eastAsia="zh-CN"/>
        </w:rPr>
        <w:t>、</w:t>
      </w:r>
      <w:r>
        <w:rPr>
          <w:rFonts w:hint="eastAsia" w:ascii="仿宋" w:hAnsi="仿宋" w:cs="仿宋"/>
          <w:sz w:val="32"/>
          <w:szCs w:val="32"/>
          <w:lang w:val="en-US" w:eastAsia="zh-CN"/>
        </w:rPr>
        <w:t>股权转让评估、司法鉴定评估、拆迁补偿评估</w:t>
      </w:r>
      <w:r>
        <w:rPr>
          <w:rFonts w:hint="eastAsia" w:ascii="仿宋" w:hAnsi="仿宋" w:eastAsia="仿宋" w:cs="仿宋"/>
          <w:sz w:val="32"/>
          <w:szCs w:val="32"/>
        </w:rPr>
        <w:t>等</w:t>
      </w:r>
      <w:r>
        <w:rPr>
          <w:rFonts w:hint="eastAsia" w:ascii="仿宋" w:hAnsi="仿宋" w:cs="仿宋"/>
          <w:sz w:val="32"/>
          <w:szCs w:val="32"/>
          <w:lang w:val="en-US" w:eastAsia="zh-CN"/>
        </w:rPr>
        <w:t>项目</w:t>
      </w:r>
      <w:r>
        <w:rPr>
          <w:rFonts w:hint="eastAsia" w:ascii="仿宋" w:hAnsi="仿宋"/>
          <w:szCs w:val="32"/>
        </w:rPr>
        <w:t>。</w:t>
      </w:r>
    </w:p>
    <w:p w14:paraId="231CD70A">
      <w:pPr>
        <w:spacing w:line="620" w:lineRule="exact"/>
        <w:ind w:firstLine="640" w:firstLineChars="200"/>
        <w:rPr>
          <w:rFonts w:hint="eastAsia" w:ascii="黑体" w:hAnsi="黑体" w:eastAsia="黑体"/>
          <w:szCs w:val="32"/>
        </w:rPr>
      </w:pPr>
      <w:r>
        <w:rPr>
          <w:rFonts w:hint="eastAsia" w:ascii="黑体" w:hAnsi="黑体" w:eastAsia="黑体"/>
          <w:szCs w:val="32"/>
        </w:rPr>
        <w:t>二、检查工作时间安排</w:t>
      </w:r>
    </w:p>
    <w:p w14:paraId="247254DB">
      <w:pPr>
        <w:spacing w:line="620" w:lineRule="exact"/>
        <w:ind w:firstLine="640" w:firstLineChars="200"/>
        <w:rPr>
          <w:rFonts w:hint="eastAsia" w:ascii="仿宋" w:hAnsi="仿宋"/>
          <w:bCs/>
          <w:szCs w:val="32"/>
        </w:rPr>
      </w:pPr>
      <w:r>
        <w:rPr>
          <w:rFonts w:hint="eastAsia" w:ascii="仿宋" w:hAnsi="仿宋"/>
          <w:bCs/>
          <w:szCs w:val="32"/>
        </w:rPr>
        <w:t>1.确定检查人员及被检查机构（7月17日）</w:t>
      </w:r>
    </w:p>
    <w:p w14:paraId="512E0E34">
      <w:pPr>
        <w:spacing w:line="620" w:lineRule="exact"/>
        <w:ind w:firstLine="640" w:firstLineChars="200"/>
        <w:rPr>
          <w:rFonts w:hint="eastAsia" w:ascii="仿宋" w:hAnsi="仿宋"/>
          <w:bCs/>
          <w:szCs w:val="32"/>
          <w:highlight w:val="none"/>
        </w:rPr>
      </w:pPr>
      <w:r>
        <w:rPr>
          <w:rFonts w:hint="eastAsia" w:ascii="仿宋" w:hAnsi="仿宋"/>
          <w:bCs/>
          <w:szCs w:val="32"/>
          <w:highlight w:val="none"/>
        </w:rPr>
        <w:t>拟分</w:t>
      </w:r>
      <w:r>
        <w:rPr>
          <w:rFonts w:ascii="仿宋" w:hAnsi="仿宋"/>
          <w:bCs/>
          <w:szCs w:val="32"/>
          <w:highlight w:val="none"/>
        </w:rPr>
        <w:t>2</w:t>
      </w:r>
      <w:r>
        <w:rPr>
          <w:rFonts w:hint="eastAsia" w:ascii="仿宋" w:hAnsi="仿宋"/>
          <w:bCs/>
          <w:szCs w:val="32"/>
          <w:highlight w:val="none"/>
        </w:rPr>
        <w:t>个检查小组，每组4人。每组行业专家3人、省评协秘书处1人。</w:t>
      </w:r>
    </w:p>
    <w:p w14:paraId="6EE3C704">
      <w:pPr>
        <w:spacing w:line="620" w:lineRule="exact"/>
        <w:ind w:firstLine="640" w:firstLineChars="200"/>
        <w:rPr>
          <w:rFonts w:hint="eastAsia" w:ascii="仿宋" w:hAnsi="仿宋"/>
          <w:bCs/>
          <w:szCs w:val="32"/>
        </w:rPr>
      </w:pPr>
      <w:r>
        <w:rPr>
          <w:rFonts w:hint="eastAsia" w:ascii="仿宋" w:hAnsi="仿宋"/>
          <w:bCs/>
          <w:szCs w:val="32"/>
        </w:rPr>
        <w:t>2.组织检查人员培训（7月20日）</w:t>
      </w:r>
    </w:p>
    <w:p w14:paraId="5F4C3EE5">
      <w:pPr>
        <w:spacing w:line="620" w:lineRule="exact"/>
        <w:ind w:firstLine="640" w:firstLineChars="200"/>
        <w:rPr>
          <w:rFonts w:ascii="仿宋" w:hAnsi="仿宋"/>
          <w:bCs/>
          <w:szCs w:val="32"/>
        </w:rPr>
      </w:pPr>
      <w:r>
        <w:rPr>
          <w:rFonts w:hint="eastAsia" w:ascii="仿宋" w:hAnsi="仿宋"/>
          <w:bCs/>
          <w:szCs w:val="32"/>
        </w:rPr>
        <w:t>3.被检查机构自查（7月21日至7月31日）。</w:t>
      </w:r>
    </w:p>
    <w:p w14:paraId="18771646">
      <w:pPr>
        <w:spacing w:line="620" w:lineRule="exact"/>
        <w:ind w:firstLine="640" w:firstLineChars="200"/>
        <w:rPr>
          <w:rFonts w:ascii="仿宋" w:hAnsi="仿宋"/>
          <w:bCs/>
          <w:szCs w:val="32"/>
        </w:rPr>
      </w:pPr>
      <w:r>
        <w:rPr>
          <w:rFonts w:hint="eastAsia" w:ascii="仿宋" w:hAnsi="仿宋"/>
          <w:bCs/>
          <w:szCs w:val="32"/>
        </w:rPr>
        <w:t>自查时准备以下材料：</w:t>
      </w:r>
    </w:p>
    <w:p w14:paraId="16D0B451">
      <w:pPr>
        <w:spacing w:line="620" w:lineRule="exact"/>
        <w:ind w:firstLine="640" w:firstLineChars="200"/>
        <w:rPr>
          <w:rFonts w:ascii="仿宋" w:hAnsi="仿宋"/>
          <w:bCs/>
          <w:szCs w:val="32"/>
        </w:rPr>
      </w:pPr>
      <w:r>
        <w:rPr>
          <w:rFonts w:hint="eastAsia" w:ascii="仿宋" w:hAnsi="仿宋"/>
          <w:bCs/>
          <w:szCs w:val="32"/>
        </w:rPr>
        <w:t>（1）资产评估机构基本情况表（见附件3）；</w:t>
      </w:r>
    </w:p>
    <w:p w14:paraId="3945B3D1">
      <w:pPr>
        <w:spacing w:line="620" w:lineRule="exact"/>
        <w:ind w:firstLine="640" w:firstLineChars="200"/>
        <w:rPr>
          <w:rFonts w:ascii="仿宋" w:hAnsi="仿宋"/>
          <w:bCs/>
          <w:szCs w:val="32"/>
        </w:rPr>
      </w:pPr>
      <w:r>
        <w:rPr>
          <w:rFonts w:hint="eastAsia" w:ascii="仿宋" w:hAnsi="仿宋"/>
          <w:bCs/>
          <w:szCs w:val="32"/>
        </w:rPr>
        <w:t>（2）资产评估师名单及执业会员证书；</w:t>
      </w:r>
    </w:p>
    <w:p w14:paraId="2710DF7D">
      <w:pPr>
        <w:spacing w:line="620" w:lineRule="exact"/>
        <w:ind w:firstLine="640" w:firstLineChars="200"/>
        <w:rPr>
          <w:rFonts w:ascii="仿宋" w:hAnsi="仿宋"/>
          <w:bCs/>
          <w:szCs w:val="32"/>
        </w:rPr>
      </w:pPr>
      <w:r>
        <w:rPr>
          <w:rFonts w:hint="eastAsia" w:ascii="仿宋" w:hAnsi="仿宋"/>
          <w:bCs/>
          <w:szCs w:val="32"/>
        </w:rPr>
        <w:t>（3）2</w:t>
      </w:r>
      <w:r>
        <w:rPr>
          <w:rFonts w:ascii="仿宋" w:hAnsi="仿宋"/>
          <w:bCs/>
          <w:szCs w:val="32"/>
        </w:rPr>
        <w:t>02</w:t>
      </w:r>
      <w:r>
        <w:rPr>
          <w:rFonts w:hint="eastAsia" w:ascii="仿宋" w:hAnsi="仿宋"/>
          <w:bCs/>
          <w:szCs w:val="32"/>
        </w:rPr>
        <w:t>5年度报告登记簿；</w:t>
      </w:r>
    </w:p>
    <w:p w14:paraId="72F72314">
      <w:pPr>
        <w:spacing w:line="620" w:lineRule="exact"/>
        <w:ind w:firstLine="640" w:firstLineChars="200"/>
        <w:rPr>
          <w:rFonts w:ascii="仿宋" w:hAnsi="仿宋"/>
          <w:bCs/>
          <w:szCs w:val="32"/>
        </w:rPr>
      </w:pPr>
      <w:r>
        <w:rPr>
          <w:rFonts w:hint="eastAsia" w:ascii="仿宋" w:hAnsi="仿宋"/>
          <w:bCs/>
          <w:szCs w:val="32"/>
        </w:rPr>
        <w:t>（4）2</w:t>
      </w:r>
      <w:r>
        <w:rPr>
          <w:rFonts w:ascii="仿宋" w:hAnsi="仿宋"/>
          <w:bCs/>
          <w:szCs w:val="32"/>
        </w:rPr>
        <w:t>02</w:t>
      </w:r>
      <w:r>
        <w:rPr>
          <w:rFonts w:hint="eastAsia" w:ascii="仿宋" w:hAnsi="仿宋"/>
          <w:bCs/>
          <w:szCs w:val="32"/>
        </w:rPr>
        <w:t>5年底前出具的资产评估报告及其工作底稿；</w:t>
      </w:r>
    </w:p>
    <w:p w14:paraId="3356D466">
      <w:pPr>
        <w:spacing w:line="620" w:lineRule="exact"/>
        <w:ind w:firstLine="640" w:firstLineChars="200"/>
        <w:rPr>
          <w:rFonts w:hint="eastAsia" w:ascii="仿宋" w:hAnsi="仿宋"/>
          <w:bCs/>
          <w:szCs w:val="32"/>
        </w:rPr>
      </w:pPr>
      <w:r>
        <w:rPr>
          <w:rFonts w:hint="eastAsia" w:ascii="仿宋" w:hAnsi="仿宋"/>
          <w:bCs/>
          <w:szCs w:val="32"/>
        </w:rPr>
        <w:t>（5）机构内部管理和质量控制制度以及与检查相关的资料。</w:t>
      </w:r>
    </w:p>
    <w:p w14:paraId="251F0EEB">
      <w:pPr>
        <w:spacing w:line="620" w:lineRule="exact"/>
        <w:ind w:firstLine="640" w:firstLineChars="200"/>
        <w:rPr>
          <w:rFonts w:hint="eastAsia" w:ascii="仿宋" w:hAnsi="仿宋"/>
          <w:bCs/>
          <w:szCs w:val="32"/>
        </w:rPr>
      </w:pPr>
      <w:r>
        <w:rPr>
          <w:rFonts w:hint="eastAsia" w:ascii="仿宋" w:hAnsi="仿宋"/>
          <w:bCs/>
          <w:szCs w:val="32"/>
        </w:rPr>
        <w:t>4.现场检查工作（8月3日至8月14日）</w:t>
      </w:r>
    </w:p>
    <w:p w14:paraId="0E605AD4">
      <w:pPr>
        <w:spacing w:line="620" w:lineRule="exact"/>
        <w:ind w:firstLine="640" w:firstLineChars="200"/>
        <w:rPr>
          <w:rFonts w:hint="eastAsia" w:ascii="仿宋" w:hAnsi="仿宋"/>
          <w:bCs/>
          <w:szCs w:val="32"/>
        </w:rPr>
      </w:pPr>
      <w:r>
        <w:rPr>
          <w:rFonts w:hint="eastAsia" w:ascii="仿宋" w:hAnsi="仿宋"/>
          <w:bCs/>
          <w:szCs w:val="32"/>
        </w:rPr>
        <w:t>5.集中评审（8月17日至9月4日）</w:t>
      </w:r>
    </w:p>
    <w:p w14:paraId="26A8B004">
      <w:pPr>
        <w:spacing w:line="620" w:lineRule="exact"/>
        <w:ind w:firstLine="640" w:firstLineChars="200"/>
        <w:rPr>
          <w:rFonts w:hint="eastAsia" w:ascii="仿宋" w:hAnsi="仿宋"/>
          <w:bCs/>
          <w:szCs w:val="32"/>
        </w:rPr>
      </w:pPr>
      <w:r>
        <w:rPr>
          <w:rFonts w:hint="eastAsia" w:ascii="仿宋" w:hAnsi="仿宋"/>
          <w:bCs/>
          <w:szCs w:val="32"/>
        </w:rPr>
        <w:t>6.检查组向被检查机构</w:t>
      </w:r>
      <w:r>
        <w:rPr>
          <w:rFonts w:hint="eastAsia" w:ascii="仿宋" w:hAnsi="仿宋"/>
          <w:bCs/>
          <w:szCs w:val="32"/>
          <w:lang w:val="en-US" w:eastAsia="zh-CN"/>
        </w:rPr>
        <w:t>及</w:t>
      </w:r>
      <w:r>
        <w:rPr>
          <w:rFonts w:hint="eastAsia" w:ascii="仿宋" w:hAnsi="仿宋"/>
          <w:bCs/>
          <w:szCs w:val="32"/>
        </w:rPr>
        <w:t>资产评估师说明问题，并交换意见（9月7日至9月11日）</w:t>
      </w:r>
    </w:p>
    <w:p w14:paraId="6A75583A">
      <w:pPr>
        <w:spacing w:line="620" w:lineRule="exact"/>
        <w:ind w:firstLine="640" w:firstLineChars="200"/>
        <w:rPr>
          <w:rFonts w:hint="eastAsia" w:ascii="仿宋" w:hAnsi="仿宋"/>
          <w:bCs/>
          <w:szCs w:val="32"/>
        </w:rPr>
      </w:pPr>
      <w:r>
        <w:rPr>
          <w:rFonts w:hint="eastAsia" w:ascii="仿宋" w:hAnsi="仿宋"/>
          <w:bCs/>
          <w:szCs w:val="32"/>
        </w:rPr>
        <w:t>7.召开惩戒委员会会议，进行自律惩戒处理（9月14日至9月</w:t>
      </w:r>
      <w:r>
        <w:rPr>
          <w:rFonts w:hint="eastAsia" w:ascii="仿宋" w:hAnsi="仿宋"/>
          <w:bCs/>
          <w:szCs w:val="32"/>
          <w:lang w:val="en-US" w:eastAsia="zh-CN"/>
        </w:rPr>
        <w:t>30</w:t>
      </w:r>
      <w:r>
        <w:rPr>
          <w:rFonts w:hint="eastAsia" w:ascii="仿宋" w:hAnsi="仿宋"/>
          <w:bCs/>
          <w:szCs w:val="32"/>
        </w:rPr>
        <w:t>日）</w:t>
      </w:r>
    </w:p>
    <w:p w14:paraId="20D7CAAA">
      <w:pPr>
        <w:spacing w:line="620" w:lineRule="exact"/>
        <w:ind w:firstLine="640" w:firstLineChars="200"/>
        <w:rPr>
          <w:rFonts w:hint="eastAsia" w:ascii="黑体" w:hAnsi="黑体" w:eastAsia="黑体"/>
          <w:szCs w:val="32"/>
        </w:rPr>
      </w:pPr>
      <w:r>
        <w:rPr>
          <w:rFonts w:hint="eastAsia" w:ascii="黑体" w:hAnsi="黑体" w:eastAsia="黑体"/>
          <w:szCs w:val="32"/>
        </w:rPr>
        <w:t>三、工作要求</w:t>
      </w:r>
    </w:p>
    <w:p w14:paraId="1186A531">
      <w:pPr>
        <w:spacing w:line="620" w:lineRule="exact"/>
        <w:ind w:firstLine="640" w:firstLineChars="200"/>
        <w:rPr>
          <w:rFonts w:hint="eastAsia" w:ascii="仿宋" w:hAnsi="仿宋"/>
          <w:szCs w:val="32"/>
        </w:rPr>
      </w:pPr>
      <w:r>
        <w:rPr>
          <w:rFonts w:hint="eastAsia" w:ascii="仿宋" w:hAnsi="仿宋"/>
          <w:szCs w:val="32"/>
        </w:rPr>
        <w:t>1.加强检查</w:t>
      </w:r>
      <w:r>
        <w:rPr>
          <w:rFonts w:hint="eastAsia" w:ascii="仿宋" w:hAnsi="仿宋"/>
          <w:bCs/>
          <w:szCs w:val="32"/>
        </w:rPr>
        <w:t>工作</w:t>
      </w:r>
      <w:r>
        <w:rPr>
          <w:rFonts w:hint="eastAsia" w:ascii="仿宋" w:hAnsi="仿宋"/>
          <w:szCs w:val="32"/>
        </w:rPr>
        <w:t>组织管理</w:t>
      </w:r>
    </w:p>
    <w:p w14:paraId="757BFC93">
      <w:pPr>
        <w:spacing w:line="620" w:lineRule="exact"/>
        <w:ind w:firstLine="640" w:firstLineChars="200"/>
        <w:rPr>
          <w:rFonts w:hint="eastAsia" w:ascii="仿宋" w:hAnsi="仿宋"/>
          <w:szCs w:val="32"/>
        </w:rPr>
      </w:pPr>
      <w:r>
        <w:rPr>
          <w:rFonts w:hint="eastAsia" w:ascii="仿宋" w:hAnsi="仿宋"/>
          <w:szCs w:val="32"/>
        </w:rPr>
        <w:t>检查工作要坚持问题导向，讲求科学方法，加强组织管理，完善工作机制。做到过程规范，检查工作底稿完备。对于重大疑难问题，提交省评协秘书处或专委会研究解决，确保检查工作质量。在现场检查结束后，要严把检查结果关，依法依规客观公正评价问题、分析原因。</w:t>
      </w:r>
    </w:p>
    <w:p w14:paraId="309580F3">
      <w:pPr>
        <w:spacing w:line="620" w:lineRule="exact"/>
        <w:ind w:firstLine="640" w:firstLineChars="200"/>
        <w:rPr>
          <w:rFonts w:hint="eastAsia" w:ascii="仿宋" w:hAnsi="仿宋"/>
          <w:szCs w:val="32"/>
        </w:rPr>
      </w:pPr>
      <w:r>
        <w:rPr>
          <w:rFonts w:hint="eastAsia" w:ascii="仿宋" w:hAnsi="仿宋"/>
          <w:szCs w:val="32"/>
        </w:rPr>
        <w:t>2.严肃检查工作纪律</w:t>
      </w:r>
    </w:p>
    <w:p w14:paraId="7280B354">
      <w:pPr>
        <w:spacing w:line="620" w:lineRule="exact"/>
        <w:ind w:firstLine="640" w:firstLineChars="200"/>
        <w:rPr>
          <w:rFonts w:hint="eastAsia" w:ascii="仿宋" w:hAnsi="仿宋"/>
          <w:szCs w:val="32"/>
        </w:rPr>
      </w:pPr>
      <w:r>
        <w:rPr>
          <w:rFonts w:hint="eastAsia" w:ascii="仿宋" w:hAnsi="仿宋"/>
          <w:szCs w:val="32"/>
        </w:rPr>
        <w:t>坚持党的领导，以党的纪律为统领，严格执行财政部《会计和评估监督检查工作纪律》，强化“四项纪律”和“八个不准”要求，确保依法检查。检查工作要做到客观、公正、廉洁自律，加强自身约束。</w:t>
      </w:r>
    </w:p>
    <w:p w14:paraId="4E6CA18A">
      <w:pPr>
        <w:spacing w:line="620" w:lineRule="exact"/>
        <w:ind w:firstLine="640" w:firstLineChars="200"/>
        <w:rPr>
          <w:rFonts w:hint="eastAsia" w:ascii="仿宋" w:hAnsi="仿宋"/>
          <w:szCs w:val="32"/>
        </w:rPr>
      </w:pPr>
      <w:r>
        <w:rPr>
          <w:rFonts w:hint="eastAsia" w:ascii="仿宋" w:hAnsi="仿宋"/>
          <w:szCs w:val="32"/>
        </w:rPr>
        <w:t>3.</w:t>
      </w:r>
      <w:r>
        <w:rPr>
          <w:rFonts w:hint="eastAsia" w:ascii="仿宋" w:hAnsi="仿宋"/>
          <w:bCs/>
          <w:szCs w:val="32"/>
        </w:rPr>
        <w:t>依法</w:t>
      </w:r>
      <w:r>
        <w:rPr>
          <w:rFonts w:hint="eastAsia" w:ascii="仿宋" w:hAnsi="仿宋"/>
          <w:szCs w:val="32"/>
        </w:rPr>
        <w:t>依规实施惩戒</w:t>
      </w:r>
    </w:p>
    <w:p w14:paraId="387E0712">
      <w:pPr>
        <w:spacing w:line="620" w:lineRule="exact"/>
        <w:ind w:firstLine="640" w:firstLineChars="200"/>
        <w:rPr>
          <w:rFonts w:hint="eastAsia" w:ascii="仿宋" w:hAnsi="仿宋"/>
          <w:szCs w:val="32"/>
        </w:rPr>
      </w:pPr>
      <w:r>
        <w:rPr>
          <w:rFonts w:hint="eastAsia" w:ascii="仿宋" w:hAnsi="仿宋"/>
          <w:szCs w:val="32"/>
        </w:rPr>
        <w:t>在</w:t>
      </w:r>
      <w:r>
        <w:rPr>
          <w:rFonts w:hint="eastAsia" w:ascii="仿宋" w:hAnsi="仿宋"/>
          <w:bCs/>
          <w:szCs w:val="32"/>
        </w:rPr>
        <w:t>检查</w:t>
      </w:r>
      <w:r>
        <w:rPr>
          <w:rFonts w:hint="eastAsia" w:ascii="仿宋" w:hAnsi="仿宋"/>
          <w:szCs w:val="32"/>
        </w:rPr>
        <w:t>中发现评估项目存在未实施重要评估程序、相关证据严重缺失或者证据矛盾等情形，依法依规对相关机构及人员实施行业自律惩戒。涉及行政处罚的上报省财政厅监督局。</w:t>
      </w:r>
    </w:p>
    <w:p w14:paraId="55E21282">
      <w:pPr>
        <w:spacing w:line="620" w:lineRule="exact"/>
        <w:ind w:firstLine="640" w:firstLineChars="200"/>
        <w:rPr>
          <w:rFonts w:hint="eastAsia" w:ascii="仿宋" w:hAnsi="仿宋"/>
          <w:szCs w:val="32"/>
        </w:rPr>
      </w:pPr>
      <w:r>
        <w:rPr>
          <w:rFonts w:hint="eastAsia" w:ascii="仿宋" w:hAnsi="仿宋"/>
          <w:szCs w:val="32"/>
        </w:rPr>
        <w:t>4.强化对被检查单位的业务指导</w:t>
      </w:r>
    </w:p>
    <w:p w14:paraId="5CECDE51">
      <w:pPr>
        <w:spacing w:line="620" w:lineRule="exact"/>
        <w:ind w:firstLine="640" w:firstLineChars="200"/>
        <w:rPr>
          <w:rFonts w:hint="eastAsia" w:ascii="仿宋" w:hAnsi="仿宋"/>
          <w:sz w:val="30"/>
        </w:rPr>
      </w:pPr>
      <w:r>
        <w:rPr>
          <w:rFonts w:hint="eastAsia" w:ascii="仿宋" w:hAnsi="仿宋"/>
          <w:szCs w:val="32"/>
        </w:rPr>
        <w:t>检查小组就检查发现的质量控制薄弱环节和执业质量问题与资产评估机构充分沟通，提出有针对性和可操作性的建议，切实帮助资产评估机构完善质量控制体系，提高执业水平。</w:t>
      </w:r>
    </w:p>
    <w:p w14:paraId="0619A225">
      <w:pPr>
        <w:ind w:firstLine="600" w:firstLineChars="200"/>
        <w:rPr>
          <w:rFonts w:hint="eastAsia" w:ascii="仿宋" w:hAnsi="仿宋"/>
          <w:sz w:val="30"/>
        </w:rPr>
      </w:pPr>
    </w:p>
    <w:p w14:paraId="5F43EFC8">
      <w:pPr>
        <w:ind w:firstLine="600" w:firstLineChars="200"/>
        <w:rPr>
          <w:rFonts w:hint="eastAsia" w:ascii="仿宋" w:hAnsi="仿宋"/>
          <w:sz w:val="30"/>
        </w:rPr>
      </w:pPr>
    </w:p>
    <w:p w14:paraId="1EC57B2C">
      <w:pPr>
        <w:ind w:firstLine="600" w:firstLineChars="200"/>
        <w:rPr>
          <w:rFonts w:hint="eastAsia" w:ascii="仿宋" w:hAnsi="仿宋"/>
          <w:sz w:val="30"/>
        </w:rPr>
      </w:pPr>
    </w:p>
    <w:p w14:paraId="32EC0B37">
      <w:pPr>
        <w:widowControl/>
        <w:rPr>
          <w:rFonts w:ascii="黑体" w:hAnsi="黑体" w:eastAsia="黑体"/>
          <w:sz w:val="30"/>
        </w:rPr>
      </w:pPr>
    </w:p>
    <w:p w14:paraId="5F14F647">
      <w:pPr>
        <w:widowControl/>
        <w:rPr>
          <w:rFonts w:ascii="黑体" w:hAnsi="黑体" w:eastAsia="黑体"/>
          <w:sz w:val="30"/>
        </w:rPr>
      </w:pPr>
    </w:p>
    <w:p w14:paraId="1E03A482">
      <w:pPr>
        <w:widowControl/>
        <w:rPr>
          <w:rFonts w:ascii="黑体" w:hAnsi="黑体" w:eastAsia="黑体"/>
          <w:sz w:val="30"/>
        </w:rPr>
      </w:pPr>
    </w:p>
    <w:p w14:paraId="45702E5E">
      <w:pPr>
        <w:widowControl/>
        <w:rPr>
          <w:rFonts w:ascii="黑体" w:hAnsi="黑体" w:eastAsia="黑体"/>
          <w:sz w:val="30"/>
        </w:rPr>
      </w:pPr>
    </w:p>
    <w:p w14:paraId="16FD40CA">
      <w:pPr>
        <w:widowControl/>
        <w:rPr>
          <w:rFonts w:ascii="黑体" w:hAnsi="黑体" w:eastAsia="黑体"/>
          <w:sz w:val="30"/>
        </w:rPr>
      </w:pPr>
    </w:p>
    <w:p w14:paraId="58A6AED1">
      <w:pPr>
        <w:widowControl/>
        <w:rPr>
          <w:rFonts w:ascii="黑体" w:hAnsi="黑体" w:eastAsia="黑体"/>
          <w:sz w:val="30"/>
        </w:rPr>
      </w:pPr>
    </w:p>
    <w:p w14:paraId="657AF453">
      <w:pPr>
        <w:pStyle w:val="7"/>
        <w:adjustRightInd w:val="0"/>
        <w:snapToGrid w:val="0"/>
        <w:spacing w:line="620" w:lineRule="exact"/>
        <w:rPr>
          <w:rFonts w:hint="eastAsia" w:ascii="宋体" w:hAnsi="宋体" w:eastAsia="宋体"/>
          <w:color w:val="000000"/>
          <w:sz w:val="21"/>
          <w:szCs w:val="21"/>
        </w:rPr>
      </w:pPr>
      <w:bookmarkStart w:id="0" w:name="_GoBack"/>
      <w:bookmarkEnd w:id="0"/>
    </w:p>
    <w:sectPr>
      <w:footerReference r:id="rId3" w:type="default"/>
      <w:footerReference r:id="rId4" w:type="even"/>
      <w:pgSz w:w="11906" w:h="16838"/>
      <w:pgMar w:top="1440" w:right="1531" w:bottom="1560" w:left="1531"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058EA1-BF20-43DD-A906-06024A492D15}"/>
  </w:font>
  <w:font w:name="黑体">
    <w:panose1 w:val="02010609060101010101"/>
    <w:charset w:val="86"/>
    <w:family w:val="auto"/>
    <w:pitch w:val="default"/>
    <w:sig w:usb0="800002BF" w:usb1="38CF7CFA" w:usb2="00000016" w:usb3="00000000" w:csb0="00040001" w:csb1="00000000"/>
    <w:embedRegular r:id="rId2" w:fontKey="{391A7FC9-C99E-4A47-BD72-A09E754662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1AAB52D-BE33-4700-BC6B-E3B23002D30C}"/>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embedRegular r:id="rId4" w:fontKey="{89AA62A2-46C1-465F-85FF-0A777F0B231C}"/>
  </w:font>
  <w:font w:name="方正小标宋简体">
    <w:panose1 w:val="02000000000000000000"/>
    <w:charset w:val="86"/>
    <w:family w:val="script"/>
    <w:pitch w:val="default"/>
    <w:sig w:usb0="00000001" w:usb1="08000000" w:usb2="00000000" w:usb3="00000000" w:csb0="00040000" w:csb1="00000000"/>
    <w:embedRegular r:id="rId5" w:fontKey="{76ED0CAA-A852-4F09-B450-0873DF243DD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51D1">
    <w:pPr>
      <w:pStyle w:val="5"/>
      <w:jc w:val="right"/>
      <w:rPr>
        <w:rFonts w:hint="eastAsia"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1 -</w:t>
    </w:r>
    <w:r>
      <w:rPr>
        <w:rFonts w:asciiTheme="minorEastAsia" w:hAnsiTheme="minorEastAsia" w:eastAsiaTheme="minorEastAsia"/>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8206533"/>
      <w:docPartObj>
        <w:docPartGallery w:val="autotext"/>
      </w:docPartObj>
    </w:sdtPr>
    <w:sdtEndPr>
      <w:rPr>
        <w:rFonts w:ascii="宋体" w:hAnsi="宋体" w:eastAsia="宋体"/>
        <w:sz w:val="24"/>
        <w:szCs w:val="24"/>
      </w:rPr>
    </w:sdtEndPr>
    <w:sdtContent>
      <w:p w14:paraId="78239EDF">
        <w:pPr>
          <w:pStyle w:val="5"/>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8E"/>
    <w:rsid w:val="0000166A"/>
    <w:rsid w:val="0000224C"/>
    <w:rsid w:val="0001094D"/>
    <w:rsid w:val="000112DA"/>
    <w:rsid w:val="0001182C"/>
    <w:rsid w:val="00012A7B"/>
    <w:rsid w:val="00015CDC"/>
    <w:rsid w:val="00016095"/>
    <w:rsid w:val="00016685"/>
    <w:rsid w:val="000212C9"/>
    <w:rsid w:val="00032E02"/>
    <w:rsid w:val="00034A24"/>
    <w:rsid w:val="0004290E"/>
    <w:rsid w:val="000460AC"/>
    <w:rsid w:val="0004783C"/>
    <w:rsid w:val="00047877"/>
    <w:rsid w:val="0005017C"/>
    <w:rsid w:val="00052233"/>
    <w:rsid w:val="000576C0"/>
    <w:rsid w:val="00057B53"/>
    <w:rsid w:val="00060EF4"/>
    <w:rsid w:val="000640DA"/>
    <w:rsid w:val="000710E1"/>
    <w:rsid w:val="00081586"/>
    <w:rsid w:val="00082F53"/>
    <w:rsid w:val="00095A38"/>
    <w:rsid w:val="00096EE0"/>
    <w:rsid w:val="000A05B5"/>
    <w:rsid w:val="000A3667"/>
    <w:rsid w:val="000A5813"/>
    <w:rsid w:val="000B0E5E"/>
    <w:rsid w:val="000B1A5B"/>
    <w:rsid w:val="000B2C39"/>
    <w:rsid w:val="000B5CED"/>
    <w:rsid w:val="000B67EC"/>
    <w:rsid w:val="000B7D6A"/>
    <w:rsid w:val="000C57B2"/>
    <w:rsid w:val="000C5944"/>
    <w:rsid w:val="000D01D9"/>
    <w:rsid w:val="000D0749"/>
    <w:rsid w:val="000D151A"/>
    <w:rsid w:val="000D2D93"/>
    <w:rsid w:val="000D4EE9"/>
    <w:rsid w:val="000D76C4"/>
    <w:rsid w:val="000E3608"/>
    <w:rsid w:val="000E60E6"/>
    <w:rsid w:val="000E6B13"/>
    <w:rsid w:val="000E70D3"/>
    <w:rsid w:val="00100B0A"/>
    <w:rsid w:val="001033CF"/>
    <w:rsid w:val="00103511"/>
    <w:rsid w:val="001228EC"/>
    <w:rsid w:val="001230E5"/>
    <w:rsid w:val="00124C32"/>
    <w:rsid w:val="0012598C"/>
    <w:rsid w:val="001312EF"/>
    <w:rsid w:val="0013241D"/>
    <w:rsid w:val="00132E96"/>
    <w:rsid w:val="001557A2"/>
    <w:rsid w:val="00155947"/>
    <w:rsid w:val="00165556"/>
    <w:rsid w:val="00165B8E"/>
    <w:rsid w:val="00165F09"/>
    <w:rsid w:val="00166B17"/>
    <w:rsid w:val="001718A2"/>
    <w:rsid w:val="001726BB"/>
    <w:rsid w:val="0018031A"/>
    <w:rsid w:val="00182299"/>
    <w:rsid w:val="0018364C"/>
    <w:rsid w:val="001859D2"/>
    <w:rsid w:val="0019293B"/>
    <w:rsid w:val="001967A1"/>
    <w:rsid w:val="00197758"/>
    <w:rsid w:val="001A39D1"/>
    <w:rsid w:val="001A580A"/>
    <w:rsid w:val="001B052C"/>
    <w:rsid w:val="001B08D4"/>
    <w:rsid w:val="001B20D9"/>
    <w:rsid w:val="001B446F"/>
    <w:rsid w:val="001B72C7"/>
    <w:rsid w:val="001D2382"/>
    <w:rsid w:val="001D53A5"/>
    <w:rsid w:val="001D5657"/>
    <w:rsid w:val="001D5BB1"/>
    <w:rsid w:val="001E4574"/>
    <w:rsid w:val="001E53FC"/>
    <w:rsid w:val="001E6BC7"/>
    <w:rsid w:val="001F1A10"/>
    <w:rsid w:val="001F3C72"/>
    <w:rsid w:val="001F5024"/>
    <w:rsid w:val="0020183C"/>
    <w:rsid w:val="00210F0E"/>
    <w:rsid w:val="00213647"/>
    <w:rsid w:val="002179DE"/>
    <w:rsid w:val="00230B13"/>
    <w:rsid w:val="00244EE8"/>
    <w:rsid w:val="0025096B"/>
    <w:rsid w:val="00251F57"/>
    <w:rsid w:val="002524BA"/>
    <w:rsid w:val="00255D39"/>
    <w:rsid w:val="00257DA1"/>
    <w:rsid w:val="002614EF"/>
    <w:rsid w:val="00262AE0"/>
    <w:rsid w:val="00266143"/>
    <w:rsid w:val="00266E83"/>
    <w:rsid w:val="00271116"/>
    <w:rsid w:val="00274150"/>
    <w:rsid w:val="0027633F"/>
    <w:rsid w:val="00276A1C"/>
    <w:rsid w:val="00284F37"/>
    <w:rsid w:val="002860B0"/>
    <w:rsid w:val="00287818"/>
    <w:rsid w:val="002878CD"/>
    <w:rsid w:val="00290B7E"/>
    <w:rsid w:val="00293B17"/>
    <w:rsid w:val="00293E95"/>
    <w:rsid w:val="002B1019"/>
    <w:rsid w:val="002B1E1F"/>
    <w:rsid w:val="002B3CC1"/>
    <w:rsid w:val="002B5AE9"/>
    <w:rsid w:val="002B64BD"/>
    <w:rsid w:val="002B7AF1"/>
    <w:rsid w:val="002C2CF5"/>
    <w:rsid w:val="002C7844"/>
    <w:rsid w:val="002E14B9"/>
    <w:rsid w:val="002E1AE5"/>
    <w:rsid w:val="002E25AE"/>
    <w:rsid w:val="002E59B0"/>
    <w:rsid w:val="002F18A8"/>
    <w:rsid w:val="002F27A6"/>
    <w:rsid w:val="002F54C8"/>
    <w:rsid w:val="002F74D8"/>
    <w:rsid w:val="00305CEA"/>
    <w:rsid w:val="00307ECB"/>
    <w:rsid w:val="00314BFD"/>
    <w:rsid w:val="003162A8"/>
    <w:rsid w:val="003212E2"/>
    <w:rsid w:val="00321348"/>
    <w:rsid w:val="00322F7D"/>
    <w:rsid w:val="00324C3B"/>
    <w:rsid w:val="003276F7"/>
    <w:rsid w:val="00330CBF"/>
    <w:rsid w:val="003527E4"/>
    <w:rsid w:val="00353029"/>
    <w:rsid w:val="003554F1"/>
    <w:rsid w:val="003564EF"/>
    <w:rsid w:val="00377A96"/>
    <w:rsid w:val="00383165"/>
    <w:rsid w:val="003832B4"/>
    <w:rsid w:val="0038430C"/>
    <w:rsid w:val="00384D8D"/>
    <w:rsid w:val="0039109C"/>
    <w:rsid w:val="00396F61"/>
    <w:rsid w:val="003A1BE1"/>
    <w:rsid w:val="003A2FC7"/>
    <w:rsid w:val="003A342D"/>
    <w:rsid w:val="003A5BBF"/>
    <w:rsid w:val="003A72FD"/>
    <w:rsid w:val="003B09B4"/>
    <w:rsid w:val="003B196A"/>
    <w:rsid w:val="003B43BD"/>
    <w:rsid w:val="003B4855"/>
    <w:rsid w:val="003B5CDE"/>
    <w:rsid w:val="003C0E34"/>
    <w:rsid w:val="003D3F53"/>
    <w:rsid w:val="003D7E8C"/>
    <w:rsid w:val="003E1A4D"/>
    <w:rsid w:val="003E3172"/>
    <w:rsid w:val="003E4F00"/>
    <w:rsid w:val="003E69C1"/>
    <w:rsid w:val="003F0024"/>
    <w:rsid w:val="003F644D"/>
    <w:rsid w:val="003F7C5C"/>
    <w:rsid w:val="00406002"/>
    <w:rsid w:val="0041447A"/>
    <w:rsid w:val="00417F6F"/>
    <w:rsid w:val="00422F98"/>
    <w:rsid w:val="004238FC"/>
    <w:rsid w:val="004260CE"/>
    <w:rsid w:val="00431150"/>
    <w:rsid w:val="0043252E"/>
    <w:rsid w:val="00437D01"/>
    <w:rsid w:val="00450A8F"/>
    <w:rsid w:val="00460369"/>
    <w:rsid w:val="00460448"/>
    <w:rsid w:val="0046106F"/>
    <w:rsid w:val="004650D6"/>
    <w:rsid w:val="00467039"/>
    <w:rsid w:val="00480687"/>
    <w:rsid w:val="00484034"/>
    <w:rsid w:val="0048564D"/>
    <w:rsid w:val="00491D8B"/>
    <w:rsid w:val="00493577"/>
    <w:rsid w:val="00496F3A"/>
    <w:rsid w:val="004974EB"/>
    <w:rsid w:val="004B0073"/>
    <w:rsid w:val="004B46BB"/>
    <w:rsid w:val="004C49F0"/>
    <w:rsid w:val="004D3B07"/>
    <w:rsid w:val="004D7438"/>
    <w:rsid w:val="004E5305"/>
    <w:rsid w:val="004E573B"/>
    <w:rsid w:val="004E70F7"/>
    <w:rsid w:val="004F3984"/>
    <w:rsid w:val="004F75E9"/>
    <w:rsid w:val="005066EA"/>
    <w:rsid w:val="005109EB"/>
    <w:rsid w:val="00522002"/>
    <w:rsid w:val="00522A94"/>
    <w:rsid w:val="00533318"/>
    <w:rsid w:val="00533DC3"/>
    <w:rsid w:val="0054273A"/>
    <w:rsid w:val="00547141"/>
    <w:rsid w:val="005549E1"/>
    <w:rsid w:val="0056198D"/>
    <w:rsid w:val="00563A49"/>
    <w:rsid w:val="005756F5"/>
    <w:rsid w:val="00582623"/>
    <w:rsid w:val="005912CB"/>
    <w:rsid w:val="005917DB"/>
    <w:rsid w:val="00591BF1"/>
    <w:rsid w:val="0059542E"/>
    <w:rsid w:val="0059591E"/>
    <w:rsid w:val="005A1D9E"/>
    <w:rsid w:val="005A5592"/>
    <w:rsid w:val="005A6E99"/>
    <w:rsid w:val="005B240A"/>
    <w:rsid w:val="005B2D84"/>
    <w:rsid w:val="005B31C2"/>
    <w:rsid w:val="005D1841"/>
    <w:rsid w:val="005D44BC"/>
    <w:rsid w:val="005D5AC6"/>
    <w:rsid w:val="005D5EDA"/>
    <w:rsid w:val="005E4890"/>
    <w:rsid w:val="005E4AEA"/>
    <w:rsid w:val="005F3914"/>
    <w:rsid w:val="005F3B90"/>
    <w:rsid w:val="00602086"/>
    <w:rsid w:val="0060214F"/>
    <w:rsid w:val="00610CAD"/>
    <w:rsid w:val="006114D8"/>
    <w:rsid w:val="00611CF8"/>
    <w:rsid w:val="006139A8"/>
    <w:rsid w:val="00621E3C"/>
    <w:rsid w:val="00624035"/>
    <w:rsid w:val="00627C10"/>
    <w:rsid w:val="00630D9E"/>
    <w:rsid w:val="006410BA"/>
    <w:rsid w:val="006421B1"/>
    <w:rsid w:val="006436BC"/>
    <w:rsid w:val="006474F6"/>
    <w:rsid w:val="0064778A"/>
    <w:rsid w:val="00647C86"/>
    <w:rsid w:val="00662C45"/>
    <w:rsid w:val="00674532"/>
    <w:rsid w:val="006817FF"/>
    <w:rsid w:val="00687E94"/>
    <w:rsid w:val="006A5833"/>
    <w:rsid w:val="006A7726"/>
    <w:rsid w:val="006B0D6C"/>
    <w:rsid w:val="006B2EAC"/>
    <w:rsid w:val="006B6684"/>
    <w:rsid w:val="006C0F66"/>
    <w:rsid w:val="006C3BE9"/>
    <w:rsid w:val="006C6C51"/>
    <w:rsid w:val="006D0D86"/>
    <w:rsid w:val="006D1A0A"/>
    <w:rsid w:val="006D274A"/>
    <w:rsid w:val="006D3A34"/>
    <w:rsid w:val="006D78B6"/>
    <w:rsid w:val="006E1A03"/>
    <w:rsid w:val="006E242E"/>
    <w:rsid w:val="006F091E"/>
    <w:rsid w:val="006F7FD1"/>
    <w:rsid w:val="00701661"/>
    <w:rsid w:val="00701E35"/>
    <w:rsid w:val="00702818"/>
    <w:rsid w:val="00705845"/>
    <w:rsid w:val="00713433"/>
    <w:rsid w:val="00714F49"/>
    <w:rsid w:val="00716B00"/>
    <w:rsid w:val="007179FE"/>
    <w:rsid w:val="00722545"/>
    <w:rsid w:val="0073172B"/>
    <w:rsid w:val="00740E81"/>
    <w:rsid w:val="0074410A"/>
    <w:rsid w:val="00744855"/>
    <w:rsid w:val="00744A0D"/>
    <w:rsid w:val="0074575D"/>
    <w:rsid w:val="00745F4F"/>
    <w:rsid w:val="007465E5"/>
    <w:rsid w:val="00746851"/>
    <w:rsid w:val="00754621"/>
    <w:rsid w:val="00755F53"/>
    <w:rsid w:val="00757DE1"/>
    <w:rsid w:val="007624F6"/>
    <w:rsid w:val="00763FE9"/>
    <w:rsid w:val="007643A1"/>
    <w:rsid w:val="00766A43"/>
    <w:rsid w:val="0077452A"/>
    <w:rsid w:val="007811F6"/>
    <w:rsid w:val="007866EB"/>
    <w:rsid w:val="007B124C"/>
    <w:rsid w:val="007B19FC"/>
    <w:rsid w:val="007B59F5"/>
    <w:rsid w:val="007C3CC2"/>
    <w:rsid w:val="007C5A25"/>
    <w:rsid w:val="007D3151"/>
    <w:rsid w:val="007D320F"/>
    <w:rsid w:val="007D605E"/>
    <w:rsid w:val="007E035A"/>
    <w:rsid w:val="007E1234"/>
    <w:rsid w:val="007E73C8"/>
    <w:rsid w:val="007E7AE9"/>
    <w:rsid w:val="0080076E"/>
    <w:rsid w:val="00802F52"/>
    <w:rsid w:val="0080402A"/>
    <w:rsid w:val="0080580F"/>
    <w:rsid w:val="00806353"/>
    <w:rsid w:val="00813486"/>
    <w:rsid w:val="00822CA6"/>
    <w:rsid w:val="00827754"/>
    <w:rsid w:val="0083142E"/>
    <w:rsid w:val="00831957"/>
    <w:rsid w:val="00831F65"/>
    <w:rsid w:val="00832B3B"/>
    <w:rsid w:val="00832F63"/>
    <w:rsid w:val="00835E15"/>
    <w:rsid w:val="0084280A"/>
    <w:rsid w:val="008431D7"/>
    <w:rsid w:val="00843AC3"/>
    <w:rsid w:val="00845853"/>
    <w:rsid w:val="00853E61"/>
    <w:rsid w:val="0086381A"/>
    <w:rsid w:val="00867A1C"/>
    <w:rsid w:val="0087522A"/>
    <w:rsid w:val="00875CFF"/>
    <w:rsid w:val="00886ACD"/>
    <w:rsid w:val="008906E4"/>
    <w:rsid w:val="00891204"/>
    <w:rsid w:val="00895A94"/>
    <w:rsid w:val="00897C0E"/>
    <w:rsid w:val="008A1951"/>
    <w:rsid w:val="008A4615"/>
    <w:rsid w:val="008A469E"/>
    <w:rsid w:val="008B5E1E"/>
    <w:rsid w:val="008C2813"/>
    <w:rsid w:val="008D582E"/>
    <w:rsid w:val="008E09C8"/>
    <w:rsid w:val="008E18FB"/>
    <w:rsid w:val="008E3704"/>
    <w:rsid w:val="008F3CE7"/>
    <w:rsid w:val="008F5462"/>
    <w:rsid w:val="008F62D5"/>
    <w:rsid w:val="00902AA0"/>
    <w:rsid w:val="00912805"/>
    <w:rsid w:val="00913447"/>
    <w:rsid w:val="00913560"/>
    <w:rsid w:val="00914CDC"/>
    <w:rsid w:val="00926448"/>
    <w:rsid w:val="00931721"/>
    <w:rsid w:val="00931EF6"/>
    <w:rsid w:val="00932904"/>
    <w:rsid w:val="00932F05"/>
    <w:rsid w:val="00934024"/>
    <w:rsid w:val="009361FA"/>
    <w:rsid w:val="0094417C"/>
    <w:rsid w:val="00944D63"/>
    <w:rsid w:val="00952692"/>
    <w:rsid w:val="00952956"/>
    <w:rsid w:val="009600BC"/>
    <w:rsid w:val="00961980"/>
    <w:rsid w:val="00962FBF"/>
    <w:rsid w:val="00965722"/>
    <w:rsid w:val="009741B2"/>
    <w:rsid w:val="00975ABA"/>
    <w:rsid w:val="00975EB7"/>
    <w:rsid w:val="00986EC9"/>
    <w:rsid w:val="0099671F"/>
    <w:rsid w:val="009A1FC4"/>
    <w:rsid w:val="009A2742"/>
    <w:rsid w:val="009B2F09"/>
    <w:rsid w:val="009D4326"/>
    <w:rsid w:val="009E0742"/>
    <w:rsid w:val="009E1A64"/>
    <w:rsid w:val="009E572A"/>
    <w:rsid w:val="009E69FD"/>
    <w:rsid w:val="009F034B"/>
    <w:rsid w:val="009F626B"/>
    <w:rsid w:val="009F7D0F"/>
    <w:rsid w:val="00A03965"/>
    <w:rsid w:val="00A14F0E"/>
    <w:rsid w:val="00A20283"/>
    <w:rsid w:val="00A21DEC"/>
    <w:rsid w:val="00A21FA1"/>
    <w:rsid w:val="00A220F3"/>
    <w:rsid w:val="00A31EB1"/>
    <w:rsid w:val="00A34A0A"/>
    <w:rsid w:val="00A411E9"/>
    <w:rsid w:val="00A45C5E"/>
    <w:rsid w:val="00A50477"/>
    <w:rsid w:val="00A51EA2"/>
    <w:rsid w:val="00A52142"/>
    <w:rsid w:val="00A5320C"/>
    <w:rsid w:val="00A535A3"/>
    <w:rsid w:val="00A617B3"/>
    <w:rsid w:val="00A61A92"/>
    <w:rsid w:val="00A64F59"/>
    <w:rsid w:val="00A67092"/>
    <w:rsid w:val="00A67AE7"/>
    <w:rsid w:val="00A71989"/>
    <w:rsid w:val="00A76282"/>
    <w:rsid w:val="00A87864"/>
    <w:rsid w:val="00AA1F3E"/>
    <w:rsid w:val="00AA60F1"/>
    <w:rsid w:val="00AA763F"/>
    <w:rsid w:val="00AB2F54"/>
    <w:rsid w:val="00AB42F5"/>
    <w:rsid w:val="00AB44BB"/>
    <w:rsid w:val="00AB4D2E"/>
    <w:rsid w:val="00AC5DE7"/>
    <w:rsid w:val="00AC651A"/>
    <w:rsid w:val="00AC7E1B"/>
    <w:rsid w:val="00AD2B98"/>
    <w:rsid w:val="00AD463B"/>
    <w:rsid w:val="00AD4726"/>
    <w:rsid w:val="00AE10A4"/>
    <w:rsid w:val="00AF7E81"/>
    <w:rsid w:val="00B0253C"/>
    <w:rsid w:val="00B0557F"/>
    <w:rsid w:val="00B06810"/>
    <w:rsid w:val="00B06CE1"/>
    <w:rsid w:val="00B173FB"/>
    <w:rsid w:val="00B3198A"/>
    <w:rsid w:val="00B33041"/>
    <w:rsid w:val="00B33172"/>
    <w:rsid w:val="00B33FC7"/>
    <w:rsid w:val="00B355AF"/>
    <w:rsid w:val="00B360E9"/>
    <w:rsid w:val="00B37142"/>
    <w:rsid w:val="00B3751F"/>
    <w:rsid w:val="00B42C8B"/>
    <w:rsid w:val="00B4552A"/>
    <w:rsid w:val="00B46C99"/>
    <w:rsid w:val="00B662CC"/>
    <w:rsid w:val="00B7244B"/>
    <w:rsid w:val="00B80357"/>
    <w:rsid w:val="00B81312"/>
    <w:rsid w:val="00B87065"/>
    <w:rsid w:val="00B97605"/>
    <w:rsid w:val="00BA30B5"/>
    <w:rsid w:val="00BA6194"/>
    <w:rsid w:val="00BA6307"/>
    <w:rsid w:val="00BA6309"/>
    <w:rsid w:val="00BA6528"/>
    <w:rsid w:val="00BB0E86"/>
    <w:rsid w:val="00BB215D"/>
    <w:rsid w:val="00BB7C6B"/>
    <w:rsid w:val="00BC2E36"/>
    <w:rsid w:val="00BC3638"/>
    <w:rsid w:val="00BC3D7B"/>
    <w:rsid w:val="00BD2C0F"/>
    <w:rsid w:val="00BD7883"/>
    <w:rsid w:val="00BE0EE3"/>
    <w:rsid w:val="00BE143D"/>
    <w:rsid w:val="00BE1B62"/>
    <w:rsid w:val="00BE4512"/>
    <w:rsid w:val="00BE4E28"/>
    <w:rsid w:val="00BE5A53"/>
    <w:rsid w:val="00BE6EE4"/>
    <w:rsid w:val="00C0094A"/>
    <w:rsid w:val="00C01DF5"/>
    <w:rsid w:val="00C0481C"/>
    <w:rsid w:val="00C10212"/>
    <w:rsid w:val="00C33DDC"/>
    <w:rsid w:val="00C47574"/>
    <w:rsid w:val="00C53CD7"/>
    <w:rsid w:val="00C63802"/>
    <w:rsid w:val="00C67987"/>
    <w:rsid w:val="00C70A62"/>
    <w:rsid w:val="00C76B22"/>
    <w:rsid w:val="00C80177"/>
    <w:rsid w:val="00C90727"/>
    <w:rsid w:val="00C9258E"/>
    <w:rsid w:val="00CA2E5A"/>
    <w:rsid w:val="00CA49A8"/>
    <w:rsid w:val="00CA5DCF"/>
    <w:rsid w:val="00CB2D20"/>
    <w:rsid w:val="00CB3790"/>
    <w:rsid w:val="00CB671E"/>
    <w:rsid w:val="00CC0388"/>
    <w:rsid w:val="00CC5040"/>
    <w:rsid w:val="00CD0267"/>
    <w:rsid w:val="00CD26D2"/>
    <w:rsid w:val="00CD2DE2"/>
    <w:rsid w:val="00CD78F1"/>
    <w:rsid w:val="00CE0CD5"/>
    <w:rsid w:val="00CE29A0"/>
    <w:rsid w:val="00CF0774"/>
    <w:rsid w:val="00CF18BD"/>
    <w:rsid w:val="00CF1C3F"/>
    <w:rsid w:val="00CF2709"/>
    <w:rsid w:val="00CF33DE"/>
    <w:rsid w:val="00CF5374"/>
    <w:rsid w:val="00D03B9F"/>
    <w:rsid w:val="00D179B7"/>
    <w:rsid w:val="00D17D55"/>
    <w:rsid w:val="00D20142"/>
    <w:rsid w:val="00D20F09"/>
    <w:rsid w:val="00D23ABD"/>
    <w:rsid w:val="00D278F0"/>
    <w:rsid w:val="00D300C2"/>
    <w:rsid w:val="00D3488A"/>
    <w:rsid w:val="00D435BC"/>
    <w:rsid w:val="00D514D9"/>
    <w:rsid w:val="00D60D6C"/>
    <w:rsid w:val="00D6104D"/>
    <w:rsid w:val="00D613CA"/>
    <w:rsid w:val="00D63E64"/>
    <w:rsid w:val="00D67226"/>
    <w:rsid w:val="00D6750E"/>
    <w:rsid w:val="00D71BDF"/>
    <w:rsid w:val="00D73F50"/>
    <w:rsid w:val="00D7501F"/>
    <w:rsid w:val="00D81B19"/>
    <w:rsid w:val="00D82334"/>
    <w:rsid w:val="00D86B34"/>
    <w:rsid w:val="00D90A07"/>
    <w:rsid w:val="00D90A38"/>
    <w:rsid w:val="00D95F99"/>
    <w:rsid w:val="00DA1B4C"/>
    <w:rsid w:val="00DA691E"/>
    <w:rsid w:val="00DB3C41"/>
    <w:rsid w:val="00DC0436"/>
    <w:rsid w:val="00DC13D5"/>
    <w:rsid w:val="00DC244F"/>
    <w:rsid w:val="00DD5277"/>
    <w:rsid w:val="00DD5796"/>
    <w:rsid w:val="00DD634A"/>
    <w:rsid w:val="00DD6F97"/>
    <w:rsid w:val="00DE055F"/>
    <w:rsid w:val="00DE2F89"/>
    <w:rsid w:val="00DF3F65"/>
    <w:rsid w:val="00DF6271"/>
    <w:rsid w:val="00E0235C"/>
    <w:rsid w:val="00E11D99"/>
    <w:rsid w:val="00E11FFB"/>
    <w:rsid w:val="00E1281C"/>
    <w:rsid w:val="00E3234F"/>
    <w:rsid w:val="00E33608"/>
    <w:rsid w:val="00E358B7"/>
    <w:rsid w:val="00E5299B"/>
    <w:rsid w:val="00E5304E"/>
    <w:rsid w:val="00E54EBE"/>
    <w:rsid w:val="00E5613A"/>
    <w:rsid w:val="00E61E46"/>
    <w:rsid w:val="00E657BC"/>
    <w:rsid w:val="00E67964"/>
    <w:rsid w:val="00E757DC"/>
    <w:rsid w:val="00E76E6B"/>
    <w:rsid w:val="00E81A36"/>
    <w:rsid w:val="00E9474C"/>
    <w:rsid w:val="00E96A8A"/>
    <w:rsid w:val="00E97589"/>
    <w:rsid w:val="00EA4B27"/>
    <w:rsid w:val="00EA5972"/>
    <w:rsid w:val="00EB1B28"/>
    <w:rsid w:val="00EB2D18"/>
    <w:rsid w:val="00EC6E40"/>
    <w:rsid w:val="00ED0489"/>
    <w:rsid w:val="00ED4C4F"/>
    <w:rsid w:val="00ED5997"/>
    <w:rsid w:val="00EE2D3D"/>
    <w:rsid w:val="00EE2FA1"/>
    <w:rsid w:val="00EE61F7"/>
    <w:rsid w:val="00EE689E"/>
    <w:rsid w:val="00EF0145"/>
    <w:rsid w:val="00EF77FE"/>
    <w:rsid w:val="00F001BE"/>
    <w:rsid w:val="00F04752"/>
    <w:rsid w:val="00F12905"/>
    <w:rsid w:val="00F12B32"/>
    <w:rsid w:val="00F15FBD"/>
    <w:rsid w:val="00F1640C"/>
    <w:rsid w:val="00F165AF"/>
    <w:rsid w:val="00F26BF5"/>
    <w:rsid w:val="00F378E8"/>
    <w:rsid w:val="00F46E2C"/>
    <w:rsid w:val="00F47DEC"/>
    <w:rsid w:val="00F51EF9"/>
    <w:rsid w:val="00F579EF"/>
    <w:rsid w:val="00F66693"/>
    <w:rsid w:val="00F7369D"/>
    <w:rsid w:val="00F7532D"/>
    <w:rsid w:val="00F76273"/>
    <w:rsid w:val="00F836CC"/>
    <w:rsid w:val="00F845AE"/>
    <w:rsid w:val="00F928F5"/>
    <w:rsid w:val="00FA027C"/>
    <w:rsid w:val="00FA0CAC"/>
    <w:rsid w:val="00FA1B50"/>
    <w:rsid w:val="00FA3001"/>
    <w:rsid w:val="00FA7B36"/>
    <w:rsid w:val="00FB0685"/>
    <w:rsid w:val="00FB17F0"/>
    <w:rsid w:val="00FB3958"/>
    <w:rsid w:val="00FB3C4D"/>
    <w:rsid w:val="00FC6980"/>
    <w:rsid w:val="00FC6B5A"/>
    <w:rsid w:val="00FD3F92"/>
    <w:rsid w:val="00FE5D9A"/>
    <w:rsid w:val="00FE684E"/>
    <w:rsid w:val="0DF23DD9"/>
    <w:rsid w:val="104F10B2"/>
    <w:rsid w:val="15D13671"/>
    <w:rsid w:val="25B964D7"/>
    <w:rsid w:val="45FD0BE3"/>
    <w:rsid w:val="593E1BC6"/>
    <w:rsid w:val="61437B3D"/>
    <w:rsid w:val="7F9C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 w:cstheme="minorBidi"/>
      <w:kern w:val="2"/>
      <w:sz w:val="32"/>
      <w:szCs w:val="30"/>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9"/>
    <w:unhideWhenUsed/>
    <w:qFormat/>
    <w:uiPriority w:val="0"/>
    <w:rPr>
      <w:rFonts w:ascii="宋体" w:hAnsi="Courier New" w:eastAsia="宋体" w:cs="Courier New"/>
      <w:sz w:val="21"/>
      <w:szCs w:val="21"/>
    </w:rPr>
  </w:style>
  <w:style w:type="paragraph" w:styleId="3">
    <w:name w:val="Date"/>
    <w:basedOn w:val="1"/>
    <w:next w:val="1"/>
    <w:link w:val="20"/>
    <w:semiHidden/>
    <w:unhideWhenUsed/>
    <w:uiPriority w:val="99"/>
    <w:pPr>
      <w:ind w:left="100" w:leftChars="2500"/>
    </w:pPr>
  </w:style>
  <w:style w:type="paragraph" w:styleId="4">
    <w:name w:val="Balloon Text"/>
    <w:basedOn w:val="1"/>
    <w:link w:val="16"/>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uiPriority w:val="99"/>
    <w:rPr>
      <w:sz w:val="18"/>
      <w:szCs w:val="18"/>
    </w:rPr>
  </w:style>
  <w:style w:type="character" w:customStyle="1" w:styleId="16">
    <w:name w:val="批注框文本 字符"/>
    <w:basedOn w:val="11"/>
    <w:link w:val="4"/>
    <w:semiHidden/>
    <w:qFormat/>
    <w:uiPriority w:val="99"/>
    <w:rPr>
      <w:sz w:val="18"/>
      <w:szCs w:val="18"/>
    </w:rPr>
  </w:style>
  <w:style w:type="character" w:customStyle="1" w:styleId="17">
    <w:name w:val="HTML 预设格式 字符"/>
    <w:basedOn w:val="11"/>
    <w:link w:val="7"/>
    <w:qFormat/>
    <w:uiPriority w:val="0"/>
    <w:rPr>
      <w:rFonts w:ascii="黑体" w:hAnsi="Courier New" w:eastAsia="黑体" w:cs="Courier New"/>
      <w:kern w:val="0"/>
      <w:sz w:val="20"/>
      <w:szCs w:val="20"/>
    </w:rPr>
  </w:style>
  <w:style w:type="paragraph" w:styleId="18">
    <w:name w:val="List Paragraph"/>
    <w:basedOn w:val="1"/>
    <w:qFormat/>
    <w:uiPriority w:val="34"/>
    <w:pPr>
      <w:ind w:firstLine="420" w:firstLineChars="200"/>
    </w:pPr>
    <w:rPr>
      <w:rFonts w:ascii="Times New Roman" w:hAnsi="Times New Roman" w:eastAsia="宋体" w:cs="Times New Roman"/>
      <w:sz w:val="21"/>
      <w:szCs w:val="20"/>
    </w:rPr>
  </w:style>
  <w:style w:type="character" w:customStyle="1" w:styleId="19">
    <w:name w:val="纯文本 字符"/>
    <w:basedOn w:val="11"/>
    <w:link w:val="2"/>
    <w:qFormat/>
    <w:uiPriority w:val="0"/>
    <w:rPr>
      <w:rFonts w:ascii="宋体" w:hAnsi="Courier New" w:eastAsia="宋体" w:cs="Courier New"/>
      <w:sz w:val="21"/>
      <w:szCs w:val="21"/>
    </w:rPr>
  </w:style>
  <w:style w:type="character" w:customStyle="1" w:styleId="20">
    <w:name w:val="日期 字符"/>
    <w:basedOn w:val="11"/>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14CD-7DBB-4D32-ACCE-F67520F9883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2457</Words>
  <Characters>2537</Characters>
  <Lines>21</Lines>
  <Paragraphs>5</Paragraphs>
  <TotalTime>302</TotalTime>
  <ScaleCrop>false</ScaleCrop>
  <LinksUpToDate>false</LinksUpToDate>
  <CharactersWithSpaces>2629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2026-07-16T01:35:00Z</dcterms:created>
  <dc:creator>win7</dc:creator>
  <cp:lastModifiedBy>李洋洋</cp:lastModifiedBy>
  <cp:lastPrinted>2026-07-17T05:28:00Z</cp:lastPrinted>
  <dcterms:modified xsi:type="dcterms:W3CDTF">2026-07-17T05:50:45Z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eyJoZGlkIjoiNTMzMjIyZDExOWJiMGViMzFlODAwNWRkYjY5YWJmNTYiLCJ1c2VySWQiOiIyNzEzNDc0MjMifQ==</vt:lpwstr>
  </property>
  <property fmtid="{D5CDD505-2E9C-101B-9397-08002B2CF9AE}" pid="3" name="KSOProductBuildVer">
    <vt:lpwstr>2052-12.1.0.26895</vt:lpwstr>
  </property>
  <property fmtid="{D5CDD505-2E9C-101B-9397-08002B2CF9AE}" pid="4" name="ICV">
    <vt:lpwstr>B364011BEACC43F2BD867631308C1BB5_13</vt:lpwstr>
  </property>
</Properties>
</file>