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Times New Roman" w:hAnsiTheme="minorEastAsia"/>
          <w:b/>
          <w:szCs w:val="32"/>
        </w:rPr>
      </w:pPr>
      <w:r>
        <w:rPr>
          <w:rFonts w:hint="eastAsia" w:cs="Times New Roman" w:hAnsiTheme="minorEastAsia"/>
          <w:b/>
          <w:szCs w:val="32"/>
        </w:rPr>
        <w:t>附件1：案例参考模板</w:t>
      </w:r>
    </w:p>
    <w:p>
      <w:pPr>
        <w:rPr>
          <w:rFonts w:hint="eastAsia" w:hAnsi="仿宋" w:cs="Times New Roman"/>
          <w:b/>
          <w:szCs w:val="32"/>
        </w:rPr>
      </w:pPr>
    </w:p>
    <w:p>
      <w:pPr>
        <w:rPr>
          <w:rFonts w:hAnsi="仿宋" w:cs="Times New Roman"/>
          <w:b/>
          <w:szCs w:val="32"/>
        </w:rPr>
      </w:pPr>
      <w:r>
        <w:rPr>
          <w:rFonts w:hint="eastAsia" w:hAnsi="仿宋" w:cs="Times New Roman"/>
          <w:b/>
          <w:szCs w:val="32"/>
        </w:rPr>
        <w:t>案例1：</w:t>
      </w:r>
    </w:p>
    <w:p>
      <w:pPr>
        <w:ind w:firstLine="643" w:firstLineChars="200"/>
        <w:jc w:val="center"/>
        <w:rPr>
          <w:rFonts w:hint="eastAsia" w:hAnsi="仿宋" w:cs="Times New Roman"/>
          <w:b/>
          <w:szCs w:val="32"/>
        </w:rPr>
      </w:pPr>
      <w:r>
        <w:rPr>
          <w:rFonts w:hint="eastAsia" w:hAnsi="仿宋" w:cs="Times New Roman"/>
          <w:b/>
          <w:szCs w:val="32"/>
        </w:rPr>
        <w:t>“舌尖上的审计”</w:t>
      </w:r>
      <w:r>
        <w:rPr>
          <w:rFonts w:hint="eastAsia" w:hAnsi="仿宋" w:cs="Times New Roman"/>
          <w:b/>
          <w:szCs w:val="32"/>
          <w:lang w:val="en-US" w:eastAsia="zh-CN"/>
        </w:rPr>
        <w:t xml:space="preserve"> </w:t>
      </w:r>
      <w:r>
        <w:rPr>
          <w:rFonts w:hint="eastAsia" w:hAnsi="仿宋" w:cs="Times New Roman"/>
          <w:b/>
          <w:szCs w:val="32"/>
        </w:rPr>
        <w:t>让孩子每一口都吃得放心</w:t>
      </w:r>
    </w:p>
    <w:p>
      <w:pPr>
        <w:ind w:firstLine="643" w:firstLineChars="200"/>
        <w:jc w:val="center"/>
        <w:rPr>
          <w:rFonts w:hint="eastAsia" w:hAnsi="仿宋" w:cs="Times New Roman"/>
          <w:b/>
          <w:bCs w:val="0"/>
          <w:szCs w:val="32"/>
        </w:rPr>
      </w:pPr>
      <w:r>
        <w:rPr>
          <w:rFonts w:hint="eastAsia" w:hAnsi="仿宋" w:cs="Times New Roman"/>
          <w:b/>
          <w:bCs w:val="0"/>
          <w:szCs w:val="32"/>
        </w:rPr>
        <w:t>——河北德永会计师事务所</w:t>
      </w:r>
    </w:p>
    <w:p>
      <w:pPr>
        <w:ind w:firstLine="643" w:firstLineChars="200"/>
        <w:rPr>
          <w:rFonts w:hint="eastAsia" w:hAnsi="仿宋" w:cs="Times New Roman"/>
          <w:b/>
          <w:szCs w:val="32"/>
        </w:rPr>
      </w:pPr>
    </w:p>
    <w:p>
      <w:pPr>
        <w:ind w:firstLine="643" w:firstLineChars="200"/>
        <w:rPr>
          <w:rFonts w:hAnsi="仿宋" w:cs="Times New Roman"/>
          <w:b/>
          <w:szCs w:val="32"/>
        </w:rPr>
      </w:pPr>
      <w:r>
        <w:rPr>
          <w:rFonts w:hint="eastAsia" w:hAnsi="仿宋" w:cs="Times New Roman"/>
          <w:b/>
          <w:szCs w:val="32"/>
        </w:rPr>
        <w:t>一、背景介绍</w:t>
      </w:r>
    </w:p>
    <w:p>
      <w:pPr>
        <w:ind w:firstLine="640" w:firstLineChars="200"/>
        <w:rPr>
          <w:rFonts w:hint="eastAsia" w:hAnsi="仿宋" w:cs="Times New Roman"/>
          <w:b w:val="0"/>
          <w:bCs/>
          <w:szCs w:val="32"/>
        </w:rPr>
      </w:pPr>
      <w:r>
        <w:rPr>
          <w:rFonts w:hint="eastAsia" w:hAnsi="仿宋" w:cs="Times New Roman"/>
          <w:b w:val="0"/>
          <w:bCs/>
          <w:szCs w:val="32"/>
        </w:rPr>
        <w:t>中小学校食品安全关系孩子成长、家庭幸福、民族未来。2024 年 9 月，教育部联合多部门启动中小学校食品安全与膳食经费管理专项整治行动，重点解决突出问题。河北德永会计师事务所受某市教育部门委托，对其直属 24 所中小学开展膳食经费跟踪审计。此项审计社会关注度高、责任重，事务所精选骨干注册会计师组建专项审计团队，通过全过程跟踪审计服务，全力协助教育部门开展专项整治，以实际行动推动教育事业高质量发‍展。</w:t>
      </w:r>
    </w:p>
    <w:p>
      <w:pPr>
        <w:ind w:firstLine="643" w:firstLineChars="200"/>
        <w:rPr>
          <w:rFonts w:hint="eastAsia" w:hAnsi="仿宋" w:cs="Times New Roman"/>
          <w:b w:val="0"/>
          <w:bCs/>
          <w:szCs w:val="32"/>
        </w:rPr>
      </w:pPr>
      <w:r>
        <w:rPr>
          <w:rFonts w:hint="eastAsia" w:hAnsi="仿宋" w:cs="Times New Roman"/>
          <w:b/>
          <w:szCs w:val="32"/>
        </w:rPr>
        <w:t>二、主要做法</w:t>
      </w:r>
    </w:p>
    <w:p>
      <w:pPr>
        <w:ind w:firstLine="640" w:firstLineChars="200"/>
        <w:rPr>
          <w:rFonts w:hint="eastAsia" w:hAnsi="仿宋" w:cs="Times New Roman"/>
          <w:b w:val="0"/>
          <w:bCs/>
          <w:szCs w:val="32"/>
        </w:rPr>
      </w:pPr>
      <w:r>
        <w:rPr>
          <w:rFonts w:hint="eastAsia" w:hAnsi="仿宋" w:cs="Times New Roman"/>
          <w:b w:val="0"/>
          <w:bCs/>
          <w:szCs w:val="32"/>
        </w:rPr>
        <w:t>一是以资金流向为主线，构建审计闭环机制。为确保审计工作质效，审计组创新采用“资金链穿透式”审计模式，通过前置沟通明确将审计范围从传统财务账簿延伸至“学校—餐饮公司—供应商”全链条，实现从财政拨款到食材采购的闭环追踪；同步核查学校经费审批、企业成本核算、供应商交易记录，通过交叉比对确保数据真实性，如对比学校支付凭证与供应商入库单等；建立资金流向异常预警机制，当某环节支出偏离行业均值时自动触发深度审计，使监管精度提升 30%。</w:t>
      </w:r>
    </w:p>
    <w:p>
      <w:pPr>
        <w:ind w:firstLine="640" w:firstLineChars="200"/>
        <w:rPr>
          <w:rFonts w:hint="eastAsia" w:hAnsi="仿宋" w:cs="Times New Roman"/>
          <w:b w:val="0"/>
          <w:bCs/>
          <w:szCs w:val="32"/>
        </w:rPr>
      </w:pPr>
      <w:r>
        <w:rPr>
          <w:rFonts w:hint="eastAsia" w:hAnsi="仿宋" w:cs="Times New Roman"/>
          <w:b w:val="0"/>
          <w:bCs/>
          <w:szCs w:val="32"/>
        </w:rPr>
        <w:t>二是以对象差异为依据，定制审计执行方案。针对跨板块制度衔接难题，审计组创新实施“三位一体”差异化审计策略，系统梳理 2012—2024 年的 126 份政策文件，建立包含《学校食堂财务管理办法》《餐饮服务企业会计核算指引》等在内的制度矩阵数据库，实现政策依据精准匹配；在学校端，构建以资金管控、制度完备、岗位制衡、风险管理为主体的“四位一体”监管框架；在餐饮企业端，构建以基础规范、经营合规为核心的财务合规双维度验证机制；在供应商端，构建以资质审查、流程合规、质量追溯为重点的食品安全三重防线。</w:t>
      </w:r>
    </w:p>
    <w:p>
      <w:pPr>
        <w:ind w:firstLine="640" w:firstLineChars="200"/>
        <w:rPr>
          <w:rFonts w:hint="eastAsia" w:hAnsi="仿宋" w:cs="Times New Roman"/>
          <w:b w:val="0"/>
          <w:bCs/>
          <w:szCs w:val="32"/>
        </w:rPr>
      </w:pPr>
      <w:r>
        <w:rPr>
          <w:rFonts w:hint="eastAsia" w:hAnsi="仿宋" w:cs="Times New Roman"/>
          <w:b w:val="0"/>
          <w:bCs/>
          <w:szCs w:val="32"/>
        </w:rPr>
        <w:t>三是以成果实效为导向，强化整改精细管理。审计组在专项核查中发现，学校食堂承包方普遍存在“三低现象”，即财务专业度低、制度完备性低、风险意识低。为此创新构建“审计成果三件套”交付体系，“诊断报告”采用红黄蓝三色标注问题严重程度，附政策依据原文对照表；“整改清单”将问题梳理为“立即整改/‌3 个月完善/长期机制”三类；“成长指南”含《中小学食堂财务操作手册》等定制化工具，设置“常见错误 TOP10”情景案例库，实施后整改完成率从 38%提升至 89%，被审计单位普遍反馈“既能照单抓药，又可举一反三”。</w:t>
      </w:r>
    </w:p>
    <w:p>
      <w:pPr>
        <w:ind w:firstLine="640" w:firstLineChars="200"/>
        <w:rPr>
          <w:rFonts w:hint="eastAsia" w:hAnsi="仿宋" w:cs="Times New Roman"/>
          <w:b w:val="0"/>
          <w:bCs/>
          <w:szCs w:val="32"/>
        </w:rPr>
      </w:pPr>
      <w:r>
        <w:rPr>
          <w:rFonts w:hint="eastAsia" w:hAnsi="仿宋" w:cs="Times New Roman"/>
          <w:b w:val="0"/>
          <w:bCs/>
          <w:szCs w:val="32"/>
        </w:rPr>
        <w:t>四是以制度工具化为目标，编制清单指南体系。审计组创新打造“政策工具包”赋能体系，将分散在各级文件中的要求，转化为涵盖必建制度清单、组织架构模板、可视化流程图等内容的《学校膳食管理标准化建设指引》；编制涵盖速查目录、合规自评表、典型案例等内容的实用工具‍书。</w:t>
      </w:r>
    </w:p>
    <w:p>
      <w:pPr>
        <w:ind w:firstLine="643" w:firstLineChars="200"/>
        <w:rPr>
          <w:rFonts w:hAnsi="仿宋" w:cs="Times New Roman"/>
          <w:b/>
          <w:szCs w:val="32"/>
        </w:rPr>
      </w:pPr>
      <w:r>
        <w:rPr>
          <w:rFonts w:hint="eastAsia" w:hAnsi="仿宋" w:cs="Times New Roman"/>
          <w:b/>
          <w:szCs w:val="32"/>
        </w:rPr>
        <w:t>三、取得成效</w:t>
      </w:r>
    </w:p>
    <w:p>
      <w:pPr>
        <w:ind w:firstLine="640" w:firstLineChars="200"/>
        <w:rPr>
          <w:rFonts w:hint="eastAsia" w:hAnsi="仿宋" w:cs="Times New Roman"/>
          <w:b w:val="0"/>
          <w:bCs/>
          <w:szCs w:val="32"/>
        </w:rPr>
      </w:pPr>
      <w:r>
        <w:rPr>
          <w:rFonts w:hint="eastAsia" w:hAnsi="仿宋" w:cs="Times New Roman"/>
          <w:b w:val="0"/>
          <w:bCs/>
          <w:szCs w:val="32"/>
        </w:rPr>
        <w:t>事务所历时 6 个月，完成 24 所学校 52 个食堂的专项审计，精准追踪膳食资金流向 4 亿元，守护 7 万余师生“舌尖上的安全”。创新的“跟踪审计法”获得教育部门的表扬，并在全市进行推广；审计组提出的问题清单和 400 余条管理建议，各学校、餐饮公司、供应商全部予以认可和采纳，精准管控膳食经费资金 1 000 余万元，审计工作取得显著成效；审计组编制的制度清单和操作指南取得各方良好反响，各中小学校查漏补缺，完善食堂财务管理、成本核算、采购验收、食材出入库、供货商选择、评价与退出等一系列制度，为膳食经费的规范管理夯实了基础。事务所的出色工作受到委托单位高度评‍价。</w:t>
      </w:r>
    </w:p>
    <w:p>
      <w:pPr>
        <w:rPr>
          <w:rFonts w:hAnsi="仿宋" w:cs="Times New Roman"/>
          <w:b/>
          <w:szCs w:val="32"/>
        </w:rPr>
      </w:pPr>
    </w:p>
    <w:p>
      <w:pPr>
        <w:rPr>
          <w:rFonts w:hAnsi="仿宋" w:cs="Times New Roman"/>
          <w:b/>
          <w:szCs w:val="32"/>
        </w:rPr>
      </w:pPr>
    </w:p>
    <w:p>
      <w:pPr>
        <w:rPr>
          <w:rFonts w:hAnsi="仿宋" w:cs="Times New Roman"/>
          <w:b/>
          <w:szCs w:val="32"/>
        </w:rPr>
      </w:pPr>
    </w:p>
    <w:p>
      <w:pPr>
        <w:rPr>
          <w:rFonts w:hAnsi="仿宋" w:cs="Times New Roman"/>
          <w:b/>
          <w:szCs w:val="32"/>
        </w:rPr>
      </w:pPr>
    </w:p>
    <w:p>
      <w:pPr>
        <w:rPr>
          <w:rFonts w:hAnsi="仿宋" w:cs="Times New Roman"/>
          <w:szCs w:val="32"/>
        </w:rPr>
      </w:pPr>
      <w:r>
        <w:rPr>
          <w:rFonts w:hint="eastAsia" w:hAnsi="仿宋" w:cs="Times New Roman"/>
          <w:b/>
          <w:szCs w:val="32"/>
        </w:rPr>
        <w:t>案例2：</w:t>
      </w:r>
    </w:p>
    <w:p>
      <w:pPr>
        <w:jc w:val="center"/>
        <w:rPr>
          <w:rFonts w:hint="eastAsia" w:hAnsi="仿宋" w:cs="Times New Roman"/>
          <w:b/>
          <w:szCs w:val="32"/>
        </w:rPr>
      </w:pPr>
    </w:p>
    <w:p>
      <w:pPr>
        <w:jc w:val="center"/>
        <w:rPr>
          <w:rFonts w:hint="eastAsia" w:hAnsi="仿宋" w:cs="Times New Roman"/>
          <w:b/>
          <w:szCs w:val="32"/>
        </w:rPr>
      </w:pPr>
      <w:r>
        <w:rPr>
          <w:rFonts w:hint="eastAsia" w:hAnsi="仿宋" w:cs="Times New Roman"/>
          <w:b/>
          <w:szCs w:val="32"/>
        </w:rPr>
        <w:t xml:space="preserve">     专业助力侦破特大非法集资案</w:t>
      </w:r>
    </w:p>
    <w:p>
      <w:pPr>
        <w:ind w:firstLine="643" w:firstLineChars="200"/>
        <w:jc w:val="center"/>
        <w:rPr>
          <w:rFonts w:hint="eastAsia" w:hAnsi="仿宋" w:cs="Times New Roman"/>
          <w:b/>
          <w:bCs w:val="0"/>
          <w:szCs w:val="32"/>
        </w:rPr>
      </w:pPr>
      <w:r>
        <w:rPr>
          <w:rFonts w:hint="eastAsia" w:hAnsi="仿宋" w:cs="Times New Roman"/>
          <w:b/>
          <w:bCs w:val="0"/>
          <w:szCs w:val="32"/>
        </w:rPr>
        <w:t>——陕西正源会计师事务所</w:t>
      </w:r>
    </w:p>
    <w:p>
      <w:pPr>
        <w:ind w:firstLine="643" w:firstLineChars="200"/>
        <w:rPr>
          <w:rFonts w:hint="eastAsia" w:hAnsi="仿宋" w:cs="Times New Roman"/>
          <w:b/>
          <w:szCs w:val="32"/>
        </w:rPr>
      </w:pPr>
    </w:p>
    <w:p>
      <w:pPr>
        <w:ind w:firstLine="643" w:firstLineChars="200"/>
        <w:rPr>
          <w:rFonts w:hint="eastAsia" w:hAnsi="仿宋" w:cs="Times New Roman"/>
          <w:b w:val="0"/>
          <w:bCs/>
          <w:szCs w:val="32"/>
        </w:rPr>
      </w:pPr>
      <w:r>
        <w:rPr>
          <w:rFonts w:hint="eastAsia" w:hAnsi="仿宋" w:cs="Times New Roman"/>
          <w:b/>
          <w:szCs w:val="32"/>
        </w:rPr>
        <w:t>一、背景介绍</w:t>
      </w:r>
    </w:p>
    <w:p>
      <w:pPr>
        <w:ind w:firstLine="640" w:firstLineChars="200"/>
        <w:rPr>
          <w:rFonts w:hint="eastAsia" w:hAnsi="仿宋" w:cs="Times New Roman"/>
          <w:b w:val="0"/>
          <w:bCs/>
          <w:szCs w:val="32"/>
        </w:rPr>
      </w:pPr>
      <w:r>
        <w:rPr>
          <w:rFonts w:hint="eastAsia" w:hAnsi="仿宋" w:cs="Times New Roman"/>
          <w:b w:val="0"/>
          <w:bCs/>
          <w:szCs w:val="32"/>
        </w:rPr>
        <w:t>X 非法集资案是一起特大非法集资案，社会影响极其恶劣。本案主要犯罪嫌疑人及其设立的公司以投资新项目能够获得高额回报为名，通过精心包装和虚假宣传，在长达近 10 年的时间内诱骗大量群众参与集资，涉案总金额达 12 亿元，受损集资参与人近 1 600 名，其中不乏老年群体、退休职工等风险抵御能力较弱的群众。陕西正源会计师事务所受某市司法机关委托，对该起案件提供司法会计鉴定服务。</w:t>
      </w:r>
    </w:p>
    <w:p>
      <w:pPr>
        <w:ind w:firstLine="643" w:firstLineChars="200"/>
        <w:rPr>
          <w:rFonts w:hint="eastAsia" w:hAnsi="仿宋" w:cs="Times New Roman"/>
          <w:b w:val="0"/>
          <w:bCs/>
          <w:szCs w:val="32"/>
        </w:rPr>
      </w:pPr>
      <w:r>
        <w:rPr>
          <w:rFonts w:hint="eastAsia" w:hAnsi="仿宋" w:cs="Times New Roman"/>
          <w:b/>
          <w:szCs w:val="32"/>
        </w:rPr>
        <w:t>二、主要做法</w:t>
      </w:r>
    </w:p>
    <w:p>
      <w:pPr>
        <w:ind w:firstLine="640" w:firstLineChars="200"/>
        <w:rPr>
          <w:rFonts w:hint="eastAsia" w:hAnsi="仿宋" w:cs="Times New Roman"/>
          <w:b w:val="0"/>
          <w:bCs/>
          <w:szCs w:val="32"/>
        </w:rPr>
      </w:pPr>
      <w:r>
        <w:rPr>
          <w:rFonts w:hint="eastAsia" w:hAnsi="仿宋" w:cs="Times New Roman"/>
          <w:b w:val="0"/>
          <w:bCs/>
          <w:szCs w:val="32"/>
        </w:rPr>
        <w:t>接受委托后，事务所立即组建专业的司法会计鉴定团队。面对该案海量的涉案资金流水以及交易关系复杂、隐匿手段多样等情况，事务所主要开展以下核心工作：一是资金流向的“全链条”穿透。以银行流水、第三方支付记录等电子数据为基础，运用专业的审计方法和技术手段，对超过 12 亿元的资金进行逐笔追踪、核对与汇总。清晰刻画资金从募集、归集、转移流出及花销的完整路径，彻底厘清了资金的来龙去脉。二是犯罪数额的“精准化”认定。严格依据相关法律法规，科学界定本金、利息、返点，逐一核算每名受害人的投入资金和已获收益，准确认定犯罪嫌疑人的集资诈骗金额和受害群众的实际损失金额，为量刑和追赃挽损提供数据支撑。三是审计鉴定的“多维度”关联。将财务数据与案件的其他证据（如合同文本、宣传材料、证人证言等）进行交叉印证。不仅核实了非法集资的本质，还通过资金往来发现了涉案人员之间、关联公司之间的复杂关系，为揭露非法集资团伙的组织架构和运作模式提供了关键支持。四是鉴定报告的“可视化”呈现。最终形成的鉴定意见书，不仅结论明确、逻辑严密，还大量采用了图表等可视化工具，使得复杂的资金关系一目了然，极大地便利了公安机关、检察机关及审判机关对案件的理解和审理。</w:t>
      </w:r>
    </w:p>
    <w:p>
      <w:pPr>
        <w:ind w:firstLine="643" w:firstLineChars="200"/>
        <w:rPr>
          <w:rFonts w:hint="eastAsia" w:hAnsi="仿宋" w:cs="Times New Roman"/>
          <w:b w:val="0"/>
          <w:bCs/>
          <w:szCs w:val="32"/>
        </w:rPr>
      </w:pPr>
      <w:r>
        <w:rPr>
          <w:rFonts w:hint="eastAsia" w:hAnsi="仿宋" w:cs="Times New Roman"/>
          <w:b/>
          <w:szCs w:val="32"/>
        </w:rPr>
        <w:t>三、取得成效</w:t>
      </w:r>
    </w:p>
    <w:p>
      <w:pPr>
        <w:ind w:firstLine="640" w:firstLineChars="200"/>
        <w:rPr>
          <w:rFonts w:hint="eastAsia" w:hAnsi="仿宋" w:cs="Times New Roman"/>
          <w:b w:val="0"/>
          <w:bCs/>
          <w:szCs w:val="32"/>
        </w:rPr>
      </w:pPr>
      <w:r>
        <w:rPr>
          <w:rFonts w:hint="eastAsia" w:hAnsi="仿宋" w:cs="Times New Roman"/>
          <w:b w:val="0"/>
          <w:bCs/>
          <w:szCs w:val="32"/>
        </w:rPr>
        <w:t>本次司法鉴定工作出具的《司法会计鉴定意见书》成为案件核心证据之一，资金流向图为司法机关查封、扣押、冻结涉案资产提供了明确方向，最大程度地为后续追回受害群众损失奠定了基础，切实维护了受害群众的合法权益，有力地打击了犯罪分子的嚣张气焰，彰显了司法公‍正。</w:t>
      </w:r>
    </w:p>
    <w:p>
      <w:pPr>
        <w:jc w:val="center"/>
        <w:rPr>
          <w:rFonts w:hint="eastAsia" w:hAnsi="仿宋" w:cs="Times New Roman"/>
          <w:b/>
          <w:szCs w:val="32"/>
        </w:rPr>
      </w:pPr>
    </w:p>
    <w:p>
      <w:pPr>
        <w:jc w:val="center"/>
        <w:rPr>
          <w:rFonts w:hint="eastAsia" w:hAnsi="仿宋" w:cs="Times New Roman"/>
          <w:b/>
          <w:szCs w:val="32"/>
        </w:rPr>
      </w:pPr>
    </w:p>
    <w:p>
      <w:pPr>
        <w:jc w:val="center"/>
        <w:rPr>
          <w:rFonts w:hint="eastAsia" w:hAnsi="仿宋" w:cs="Times New Roman"/>
          <w:b/>
          <w:szCs w:val="32"/>
        </w:rPr>
      </w:pPr>
    </w:p>
    <w:p>
      <w:pPr>
        <w:jc w:val="center"/>
        <w:rPr>
          <w:rFonts w:hint="eastAsia" w:hAnsi="仿宋" w:cs="Times New Roman"/>
          <w:b/>
          <w:szCs w:val="32"/>
        </w:rPr>
      </w:pPr>
      <w:bookmarkStart w:id="0" w:name="_GoBack"/>
      <w:bookmarkEnd w:id="0"/>
    </w:p>
    <w:p>
      <w:pPr>
        <w:rPr>
          <w:rFonts w:hAnsi="仿宋" w:cs="Times New Roman"/>
          <w:szCs w:val="32"/>
        </w:rPr>
      </w:pPr>
      <w:r>
        <w:rPr>
          <w:rFonts w:hint="eastAsia" w:hAnsi="仿宋" w:cs="Times New Roman"/>
          <w:b/>
          <w:szCs w:val="32"/>
        </w:rPr>
        <w:t>案例</w:t>
      </w:r>
      <w:r>
        <w:rPr>
          <w:rFonts w:hint="eastAsia" w:hAnsi="仿宋" w:cs="Times New Roman"/>
          <w:b/>
          <w:szCs w:val="32"/>
          <w:lang w:val="en-US" w:eastAsia="zh-CN"/>
        </w:rPr>
        <w:t>3</w:t>
      </w:r>
      <w:r>
        <w:rPr>
          <w:rFonts w:hint="eastAsia" w:hAnsi="仿宋" w:cs="Times New Roman"/>
          <w:b/>
          <w:szCs w:val="32"/>
        </w:rPr>
        <w:t>：</w:t>
      </w:r>
    </w:p>
    <w:p>
      <w:pPr>
        <w:bidi w:val="0"/>
        <w:ind w:firstLine="409" w:firstLineChars="0"/>
        <w:jc w:val="left"/>
        <w:rPr>
          <w:rFonts w:hint="eastAsia"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 xml:space="preserve">      </w:t>
      </w:r>
    </w:p>
    <w:p>
      <w:pPr>
        <w:bidi w:val="0"/>
        <w:ind w:firstLine="409" w:firstLineChars="0"/>
        <w:jc w:val="center"/>
        <w:rPr>
          <w:rFonts w:hint="eastAsia" w:ascii="仿宋_GB2312" w:eastAsia="仿宋_GB2312" w:hAnsiTheme="minorHAnsi" w:cstheme="minorBidi"/>
          <w:b/>
          <w:bCs/>
          <w:kern w:val="2"/>
          <w:sz w:val="32"/>
          <w:szCs w:val="22"/>
          <w:lang w:val="en-US" w:eastAsia="zh-CN" w:bidi="ar-SA"/>
        </w:rPr>
      </w:pPr>
      <w:r>
        <w:rPr>
          <w:rFonts w:hint="eastAsia" w:ascii="仿宋_GB2312" w:eastAsia="仿宋_GB2312" w:hAnsiTheme="minorHAnsi" w:cstheme="minorBidi"/>
          <w:b/>
          <w:bCs/>
          <w:kern w:val="2"/>
          <w:sz w:val="32"/>
          <w:szCs w:val="22"/>
          <w:lang w:val="en-US" w:eastAsia="zh-CN" w:bidi="ar-SA"/>
        </w:rPr>
        <w:t>专业助力夏季达沃斯论坛成功举办</w:t>
      </w:r>
    </w:p>
    <w:p>
      <w:pPr>
        <w:ind w:firstLine="643" w:firstLineChars="200"/>
        <w:jc w:val="center"/>
        <w:rPr>
          <w:rFonts w:hint="eastAsia" w:hAnsi="仿宋" w:cs="Times New Roman"/>
          <w:b/>
          <w:bCs w:val="0"/>
          <w:szCs w:val="32"/>
          <w:lang w:val="en-US" w:eastAsia="zh-CN"/>
        </w:rPr>
      </w:pPr>
      <w:r>
        <w:rPr>
          <w:rFonts w:hint="eastAsia" w:hAnsi="仿宋" w:cs="Times New Roman"/>
          <w:b/>
          <w:bCs w:val="0"/>
          <w:szCs w:val="32"/>
        </w:rPr>
        <w:t>——</w:t>
      </w:r>
      <w:r>
        <w:rPr>
          <w:rFonts w:hint="eastAsia" w:hAnsi="仿宋" w:cs="Times New Roman"/>
          <w:b/>
          <w:bCs w:val="0"/>
          <w:szCs w:val="32"/>
          <w:lang w:val="en-US" w:eastAsia="zh-CN"/>
        </w:rPr>
        <w:t>大连鼎鑫会计师事务所</w:t>
      </w:r>
    </w:p>
    <w:p>
      <w:pPr>
        <w:ind w:firstLine="643" w:firstLineChars="200"/>
        <w:rPr>
          <w:rFonts w:hint="eastAsia" w:hAnsi="仿宋" w:cs="Times New Roman"/>
          <w:b/>
          <w:szCs w:val="32"/>
        </w:rPr>
      </w:pPr>
    </w:p>
    <w:p>
      <w:pPr>
        <w:ind w:firstLine="643" w:firstLineChars="200"/>
        <w:rPr>
          <w:rFonts w:hint="eastAsia" w:ascii="仿宋_GB2312" w:eastAsia="仿宋_GB2312" w:hAnsiTheme="minorHAnsi" w:cstheme="minorBidi"/>
          <w:kern w:val="2"/>
          <w:sz w:val="32"/>
          <w:szCs w:val="22"/>
          <w:lang w:val="en-US" w:eastAsia="zh-CN" w:bidi="ar-SA"/>
        </w:rPr>
      </w:pPr>
      <w:r>
        <w:rPr>
          <w:rFonts w:hint="eastAsia" w:hAnsi="仿宋" w:cs="Times New Roman"/>
          <w:b/>
          <w:szCs w:val="32"/>
        </w:rPr>
        <w:t>一、背景介绍</w:t>
      </w:r>
    </w:p>
    <w:p>
      <w:pPr>
        <w:ind w:firstLine="640" w:firstLineChars="200"/>
        <w:rPr>
          <w:rFonts w:hint="eastAsia" w:hAnsi="仿宋" w:cs="Times New Roman"/>
          <w:b w:val="0"/>
          <w:bCs/>
          <w:szCs w:val="32"/>
          <w:lang w:val="en-US" w:eastAsia="zh-CN"/>
        </w:rPr>
      </w:pPr>
      <w:r>
        <w:rPr>
          <w:rFonts w:hint="eastAsia" w:hAnsi="仿宋" w:cs="Times New Roman"/>
          <w:b w:val="0"/>
          <w:bCs/>
          <w:szCs w:val="32"/>
          <w:lang w:val="en-US" w:eastAsia="zh-CN"/>
        </w:rPr>
        <w:t>大连鼎鑫会计师事务所凭借丰富的大型活动审计服务经验，成功中标成为 2024 年大连夏季达沃斯论坛采购项目全程审核服务机构。论坛筹备及举办期间涉及的采购项目涵盖场馆建设与改造、会务服务、设备租赁、物资供应、安保服务等多个领域，具有项目类型多、涉及金额大、时间节点紧、标准要求高、合规性强等显著特点。采购项目直接关系论坛的顺利举办，其资金使用的规范性、成本控制的合理性、采购流程的合规性成为委托单位关注的核心要点。</w:t>
      </w:r>
    </w:p>
    <w:p>
      <w:pPr>
        <w:ind w:firstLine="643" w:firstLineChars="200"/>
        <w:rPr>
          <w:rFonts w:hint="eastAsia" w:ascii="仿宋_GB2312" w:eastAsia="仿宋_GB2312" w:hAnsiTheme="minorHAnsi" w:cstheme="minorBidi"/>
          <w:kern w:val="2"/>
          <w:sz w:val="32"/>
          <w:szCs w:val="22"/>
          <w:lang w:val="en-US" w:eastAsia="zh-CN" w:bidi="ar-SA"/>
        </w:rPr>
      </w:pPr>
      <w:r>
        <w:rPr>
          <w:rFonts w:hint="eastAsia" w:hAnsi="仿宋" w:cs="Times New Roman"/>
          <w:b/>
          <w:szCs w:val="32"/>
        </w:rPr>
        <w:t>二、主要做法</w:t>
      </w:r>
    </w:p>
    <w:p>
      <w:pPr>
        <w:ind w:firstLine="640" w:firstLineChars="200"/>
        <w:rPr>
          <w:rFonts w:hint="eastAsia" w:hAnsi="仿宋" w:cs="Times New Roman"/>
          <w:b w:val="0"/>
          <w:bCs/>
          <w:szCs w:val="32"/>
          <w:lang w:val="en-US" w:eastAsia="zh-CN"/>
        </w:rPr>
      </w:pPr>
      <w:r>
        <w:rPr>
          <w:rFonts w:hint="eastAsia" w:hAnsi="仿宋" w:cs="Times New Roman"/>
          <w:b w:val="0"/>
          <w:bCs/>
          <w:szCs w:val="32"/>
          <w:lang w:val="en-US" w:eastAsia="zh-CN"/>
        </w:rPr>
        <w:t>事务所坚持问题导向、创新服务模式，从机制搭建、技术赋能、全流程管控、合规性把关四个维度入手，克服时间紧、任务重、协调难等多重困难，为项目提供高质量审核服‍务。</w:t>
      </w:r>
    </w:p>
    <w:p>
      <w:pPr>
        <w:ind w:firstLine="640" w:firstLineChars="200"/>
        <w:rPr>
          <w:rFonts w:hint="eastAsia" w:hAnsi="仿宋" w:cs="Times New Roman"/>
          <w:b w:val="0"/>
          <w:bCs/>
          <w:szCs w:val="32"/>
          <w:lang w:val="en-US" w:eastAsia="zh-CN"/>
        </w:rPr>
      </w:pPr>
      <w:r>
        <w:rPr>
          <w:rFonts w:hint="eastAsia" w:hAnsi="仿宋" w:cs="Times New Roman"/>
          <w:b w:val="0"/>
          <w:bCs/>
          <w:szCs w:val="32"/>
          <w:lang w:val="en-US" w:eastAsia="zh-CN"/>
        </w:rPr>
        <w:t>一是组建专项攻坚团队，建立高效协同机制。针对论坛采购项目的特殊性，事务所第一时间组建由注册会计师、造价工程师、政府采购政策专家组成的专项服务团队，团队成员均具备大型国际活动审计服务经验。同时，建立“日沟通、周例会、实时响应”的协同机制，牵头建立多方沟通协调平台，打通委托单位、采购单位、供应商之间的信息壁垒，确保审核工作高效推进。</w:t>
      </w:r>
    </w:p>
    <w:p>
      <w:pPr>
        <w:ind w:firstLine="640" w:firstLineChars="200"/>
        <w:rPr>
          <w:rFonts w:hint="eastAsia" w:hAnsi="仿宋" w:cs="Times New Roman"/>
          <w:b w:val="0"/>
          <w:bCs/>
          <w:szCs w:val="32"/>
          <w:lang w:val="en-US" w:eastAsia="zh-CN"/>
        </w:rPr>
      </w:pPr>
      <w:r>
        <w:rPr>
          <w:rFonts w:hint="eastAsia" w:hAnsi="仿宋" w:cs="Times New Roman"/>
          <w:b w:val="0"/>
          <w:bCs/>
          <w:szCs w:val="32"/>
          <w:lang w:val="en-US" w:eastAsia="zh-CN"/>
        </w:rPr>
        <w:t>二是创新审核方法，实现成本精准管控。论坛采购项目市场价格波动大、审核管控难度高，团队创新采用“市场调研+动态跟踪+对标分析”的专项审核模式。组织专业人员深入市场开展实地调研，收集第一手市场价格数据，建立涵盖上千种品类的价格信息库，为专项审核提供精准的市场依据；对重点项目实行动态跟踪审核，从项目设计阶段介入，编制详细的预算控制数，明确专项控制红线。在项目实施过程中，实时跟踪工程进度、物资采购情况，对设计变更、工程量调整等事项进行严格审核，及时出具价格调整建议，避免“超预算、超标准”现象发生；将本次论坛采购项目与同类大型活动项目的造价数据进行对标分析，查找成本管控的优化空间，为降低项目成本提供专业支撑。</w:t>
      </w:r>
    </w:p>
    <w:p>
      <w:pPr>
        <w:ind w:firstLine="640" w:firstLineChars="200"/>
        <w:rPr>
          <w:rFonts w:hint="eastAsia" w:hAnsi="仿宋" w:cs="Times New Roman"/>
          <w:b w:val="0"/>
          <w:bCs/>
          <w:szCs w:val="32"/>
          <w:lang w:val="en-US" w:eastAsia="zh-CN"/>
        </w:rPr>
      </w:pPr>
      <w:r>
        <w:rPr>
          <w:rFonts w:hint="eastAsia" w:hAnsi="仿宋" w:cs="Times New Roman"/>
          <w:b w:val="0"/>
          <w:bCs/>
          <w:szCs w:val="32"/>
          <w:lang w:val="en-US" w:eastAsia="zh-CN"/>
        </w:rPr>
        <w:t>三是实施全流程闭环审核，筑牢项目管理防线。团队以“事前介入、事中监控、事后复盘”为核心，构建全流程闭环审核体系，实现对采购项目的全方位管控。在采购项目启动前，审核项目管理制度、决策审批流程的完善性，重点检查采购需求的合理性、合规性，对不符合政府采购政策、存在风险隐患的内容提前提出整改建议，从源头规避管理漏洞；在采购执行阶段，重点审核项目决策审批的执行情况，检查资金拨付、使用是否符合预算要求，是否存在挤占、挪用专项资金的行为；对采购程序进行全流程跟踪，核查招标、投标、评标、中标等环节是否严格遵循相关法律法规，确保采购过程公开、公平、公正；在项目完成后，对项目资金使用效益、采购成果质量进行综合评估，形成详细的审核报告，为后续同类项目管理提供经验借鉴。</w:t>
      </w:r>
    </w:p>
    <w:p>
      <w:pPr>
        <w:ind w:firstLine="640" w:firstLineChars="200"/>
        <w:rPr>
          <w:rFonts w:hint="eastAsia" w:hAnsi="仿宋" w:cs="Times New Roman"/>
          <w:b w:val="0"/>
          <w:bCs/>
          <w:szCs w:val="32"/>
          <w:lang w:val="en-US" w:eastAsia="zh-CN"/>
        </w:rPr>
      </w:pPr>
      <w:r>
        <w:rPr>
          <w:rFonts w:hint="eastAsia" w:hAnsi="仿宋" w:cs="Times New Roman"/>
          <w:b w:val="0"/>
          <w:bCs/>
          <w:szCs w:val="32"/>
          <w:lang w:val="en-US" w:eastAsia="zh-CN"/>
        </w:rPr>
        <w:t>四是强化合规性专项审核，严守政策纪律底线。针对论坛采购项目的特殊要求，团队将合规性审核作为工作重点，开展两项专项审核工作。对照中央八项规定及其实施细则精神，开展中央八项规定精神落实情况专项审核，重点检查采购项目中是否存在铺张浪费、违规接待、超标准采购等问题，对会务安排、物资采购、经费使用等环节进行严格把关，确保项目执行符合作风建设要求；围绕政府采购政策执行情况，开展政府采购政策落实专项审核，重点核查采购项目是否落实“支持中小企业发展”“绿色采购”等政策要求，采购需求是否与论坛实际需求相匹配，是否存在“天价采购”“豪华采购”等不合理现象，确保每一笔资金都用在“刀刃‍”上。</w:t>
      </w:r>
    </w:p>
    <w:p>
      <w:pPr>
        <w:ind w:firstLine="643" w:firstLineChars="200"/>
        <w:rPr>
          <w:rFonts w:hint="eastAsia" w:ascii="仿宋_GB2312" w:eastAsia="仿宋_GB2312" w:hAnsiTheme="minorHAnsi" w:cstheme="minorBidi"/>
          <w:kern w:val="2"/>
          <w:sz w:val="32"/>
          <w:szCs w:val="22"/>
          <w:lang w:val="en-US" w:eastAsia="zh-CN" w:bidi="ar-SA"/>
        </w:rPr>
      </w:pPr>
      <w:r>
        <w:rPr>
          <w:rFonts w:hint="eastAsia" w:hAnsi="仿宋" w:cs="Times New Roman"/>
          <w:b/>
          <w:szCs w:val="32"/>
        </w:rPr>
        <w:t>三、取得成效</w:t>
      </w:r>
    </w:p>
    <w:p>
      <w:pPr>
        <w:ind w:firstLine="640" w:firstLineChars="200"/>
        <w:rPr>
          <w:rFonts w:hint="eastAsia" w:hAnsi="仿宋" w:cs="Times New Roman"/>
          <w:b w:val="0"/>
          <w:bCs/>
          <w:szCs w:val="32"/>
          <w:lang w:val="en-US" w:eastAsia="zh-CN"/>
        </w:rPr>
      </w:pPr>
      <w:r>
        <w:rPr>
          <w:rFonts w:hint="eastAsia" w:hAnsi="仿宋" w:cs="Times New Roman"/>
          <w:b w:val="0"/>
          <w:bCs/>
          <w:szCs w:val="32"/>
          <w:lang w:val="en-US" w:eastAsia="zh-CN"/>
        </w:rPr>
        <w:t>通过扎实工作和系列创新举措，事务所成功克服诸多困难，为大连夏季达沃斯论坛采购项目提供高质量的全程审核服务，取得良好成效。一方面，有效防范了采购项目的财务风险和管理风险，为论坛的顺利举办筑牢了坚实的合规防线，实现采购项目“零违规、零风险”；另一方面，推动项目成本显著降低，提升资金使用效益，在确保项目质量的前提下项目总成本较初始概算降低 8%，通过市场调研和对标分析，为设备租赁、物资采购等项目节省资金超 200 万元。此外，本次服务创新构建的“专项团队+协同机制+全流程管控”服务模式，为大型国际活动采购项目审核提供了可复制、可推广的实践经验。事务所的高质量专业服务得到委托单位高度认‍可。</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598588"/>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EA3"/>
    <w:rsid w:val="00041920"/>
    <w:rsid w:val="000444E3"/>
    <w:rsid w:val="00053B08"/>
    <w:rsid w:val="00072D0A"/>
    <w:rsid w:val="000C452B"/>
    <w:rsid w:val="000D0173"/>
    <w:rsid w:val="00155AEA"/>
    <w:rsid w:val="00164EA3"/>
    <w:rsid w:val="001B753C"/>
    <w:rsid w:val="001B7EEB"/>
    <w:rsid w:val="00284EED"/>
    <w:rsid w:val="002B632E"/>
    <w:rsid w:val="002E1C6B"/>
    <w:rsid w:val="002E3EED"/>
    <w:rsid w:val="00366F3A"/>
    <w:rsid w:val="0041608B"/>
    <w:rsid w:val="00465E82"/>
    <w:rsid w:val="0047073F"/>
    <w:rsid w:val="004845CF"/>
    <w:rsid w:val="004D08A2"/>
    <w:rsid w:val="005312FF"/>
    <w:rsid w:val="00567F3A"/>
    <w:rsid w:val="005B7471"/>
    <w:rsid w:val="00624F14"/>
    <w:rsid w:val="00625502"/>
    <w:rsid w:val="00626A59"/>
    <w:rsid w:val="00656E69"/>
    <w:rsid w:val="0066697D"/>
    <w:rsid w:val="00696819"/>
    <w:rsid w:val="006D2A68"/>
    <w:rsid w:val="006D7463"/>
    <w:rsid w:val="007237E0"/>
    <w:rsid w:val="00726652"/>
    <w:rsid w:val="007A634D"/>
    <w:rsid w:val="007B604B"/>
    <w:rsid w:val="008571A0"/>
    <w:rsid w:val="00862074"/>
    <w:rsid w:val="00875897"/>
    <w:rsid w:val="008804F4"/>
    <w:rsid w:val="009134EA"/>
    <w:rsid w:val="00940232"/>
    <w:rsid w:val="00976CAA"/>
    <w:rsid w:val="009A52AC"/>
    <w:rsid w:val="009B6726"/>
    <w:rsid w:val="00A16F3C"/>
    <w:rsid w:val="00A50EB5"/>
    <w:rsid w:val="00A6738C"/>
    <w:rsid w:val="00AB0156"/>
    <w:rsid w:val="00BB7010"/>
    <w:rsid w:val="00BD363F"/>
    <w:rsid w:val="00C67C57"/>
    <w:rsid w:val="00CB097F"/>
    <w:rsid w:val="00CF0C70"/>
    <w:rsid w:val="00CF138B"/>
    <w:rsid w:val="00D326D8"/>
    <w:rsid w:val="00D51C9A"/>
    <w:rsid w:val="00D71E57"/>
    <w:rsid w:val="00DA7F71"/>
    <w:rsid w:val="00DC3954"/>
    <w:rsid w:val="00DF31F4"/>
    <w:rsid w:val="00E36A96"/>
    <w:rsid w:val="00E96D42"/>
    <w:rsid w:val="00EE7D11"/>
    <w:rsid w:val="00F24E15"/>
    <w:rsid w:val="00F836ED"/>
    <w:rsid w:val="01D3030E"/>
    <w:rsid w:val="0265787C"/>
    <w:rsid w:val="03E147EA"/>
    <w:rsid w:val="047C0E2B"/>
    <w:rsid w:val="05A45750"/>
    <w:rsid w:val="0C4452AF"/>
    <w:rsid w:val="0D72249E"/>
    <w:rsid w:val="0DC30FA3"/>
    <w:rsid w:val="0E1D4B35"/>
    <w:rsid w:val="0F8D020F"/>
    <w:rsid w:val="104841C5"/>
    <w:rsid w:val="138B521B"/>
    <w:rsid w:val="14EE06E6"/>
    <w:rsid w:val="15794A47"/>
    <w:rsid w:val="16841A81"/>
    <w:rsid w:val="181E3DA1"/>
    <w:rsid w:val="190C23A4"/>
    <w:rsid w:val="1A081343"/>
    <w:rsid w:val="1B9133C8"/>
    <w:rsid w:val="1C8B48E5"/>
    <w:rsid w:val="1CDD55E8"/>
    <w:rsid w:val="1D1B764B"/>
    <w:rsid w:val="20525F14"/>
    <w:rsid w:val="21C9227E"/>
    <w:rsid w:val="25637566"/>
    <w:rsid w:val="282A6A75"/>
    <w:rsid w:val="2B2E2565"/>
    <w:rsid w:val="2C3A179D"/>
    <w:rsid w:val="2C493FB6"/>
    <w:rsid w:val="2CA91A51"/>
    <w:rsid w:val="2CB745EA"/>
    <w:rsid w:val="2EE316FC"/>
    <w:rsid w:val="2F4C58A8"/>
    <w:rsid w:val="30B515F7"/>
    <w:rsid w:val="31D82653"/>
    <w:rsid w:val="353A55E3"/>
    <w:rsid w:val="35445EF3"/>
    <w:rsid w:val="355F671C"/>
    <w:rsid w:val="37071057"/>
    <w:rsid w:val="3AED09BD"/>
    <w:rsid w:val="3FC840B3"/>
    <w:rsid w:val="4172666D"/>
    <w:rsid w:val="41B119D5"/>
    <w:rsid w:val="42EC5ED9"/>
    <w:rsid w:val="44054428"/>
    <w:rsid w:val="4464668B"/>
    <w:rsid w:val="46C661AA"/>
    <w:rsid w:val="47626028"/>
    <w:rsid w:val="494C26D0"/>
    <w:rsid w:val="497C541E"/>
    <w:rsid w:val="4A2C3F3D"/>
    <w:rsid w:val="4BED3F1E"/>
    <w:rsid w:val="4C1C708A"/>
    <w:rsid w:val="4D316B33"/>
    <w:rsid w:val="4F820602"/>
    <w:rsid w:val="51804844"/>
    <w:rsid w:val="52D518F2"/>
    <w:rsid w:val="53975273"/>
    <w:rsid w:val="540D48F4"/>
    <w:rsid w:val="54B23402"/>
    <w:rsid w:val="54BB6290"/>
    <w:rsid w:val="54D33936"/>
    <w:rsid w:val="55EB2205"/>
    <w:rsid w:val="56EF07AE"/>
    <w:rsid w:val="591D2FC1"/>
    <w:rsid w:val="59587923"/>
    <w:rsid w:val="5AA24C27"/>
    <w:rsid w:val="5ED660A5"/>
    <w:rsid w:val="5FDC33D5"/>
    <w:rsid w:val="61445E1F"/>
    <w:rsid w:val="67547394"/>
    <w:rsid w:val="680B583D"/>
    <w:rsid w:val="693C1432"/>
    <w:rsid w:val="69B97B02"/>
    <w:rsid w:val="69C22990"/>
    <w:rsid w:val="6BA563A9"/>
    <w:rsid w:val="6BAF473A"/>
    <w:rsid w:val="6BFA38B5"/>
    <w:rsid w:val="6C6D5DF2"/>
    <w:rsid w:val="6DAA1F76"/>
    <w:rsid w:val="6DD134BB"/>
    <w:rsid w:val="6DFB0A7C"/>
    <w:rsid w:val="6FE0321B"/>
    <w:rsid w:val="70BD3B02"/>
    <w:rsid w:val="71EE76F7"/>
    <w:rsid w:val="72062BA0"/>
    <w:rsid w:val="72445F08"/>
    <w:rsid w:val="743D3AC4"/>
    <w:rsid w:val="74B90E8F"/>
    <w:rsid w:val="789449E3"/>
    <w:rsid w:val="7A622655"/>
    <w:rsid w:val="7B1A5686"/>
    <w:rsid w:val="7B1E408D"/>
    <w:rsid w:val="7DD97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仿宋_GB2312" w:eastAsia="仿宋_GB2312"/>
      <w:sz w:val="18"/>
      <w:szCs w:val="18"/>
    </w:rPr>
  </w:style>
  <w:style w:type="paragraph" w:styleId="7">
    <w:name w:val="List Paragraph"/>
    <w:basedOn w:val="1"/>
    <w:qFormat/>
    <w:uiPriority w:val="34"/>
    <w:pPr>
      <w:ind w:firstLine="420" w:firstLineChars="200"/>
    </w:pPr>
  </w:style>
  <w:style w:type="paragraph" w:customStyle="1" w:styleId="8">
    <w:name w:val="A  案例W"/>
    <w:basedOn w:val="1"/>
    <w:link w:val="9"/>
    <w:qFormat/>
    <w:uiPriority w:val="0"/>
    <w:pPr>
      <w:overflowPunct w:val="0"/>
      <w:topLinePunct/>
      <w:adjustRightInd w:val="0"/>
      <w:snapToGrid w:val="0"/>
      <w:spacing w:line="418" w:lineRule="exact"/>
      <w:ind w:firstLine="640" w:firstLineChars="200"/>
    </w:pPr>
    <w:rPr>
      <w:rFonts w:ascii="Times New Roman" w:hAnsi="Times New Roman" w:eastAsia="方正楷体_GBK"/>
      <w:sz w:val="24"/>
      <w:szCs w:val="21"/>
    </w:rPr>
  </w:style>
  <w:style w:type="character" w:customStyle="1" w:styleId="9">
    <w:name w:val="A  案例W 字符"/>
    <w:basedOn w:val="5"/>
    <w:link w:val="8"/>
    <w:qFormat/>
    <w:uiPriority w:val="0"/>
    <w:rPr>
      <w:rFonts w:ascii="Times New Roman" w:hAnsi="Times New Roman" w:eastAsia="方正楷体_GBK"/>
      <w:sz w:val="24"/>
      <w:szCs w:val="21"/>
    </w:rPr>
  </w:style>
  <w:style w:type="character" w:customStyle="1" w:styleId="10">
    <w:name w:val="页眉 Char"/>
    <w:basedOn w:val="5"/>
    <w:link w:val="3"/>
    <w:qFormat/>
    <w:uiPriority w:val="99"/>
    <w:rPr>
      <w:rFonts w:ascii="仿宋_GB2312" w:eastAsia="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B9CCB-A7E4-4AAA-A161-38C687CE9F6C}">
  <ds:schemaRefs/>
</ds:datastoreItem>
</file>

<file path=docProps/app.xml><?xml version="1.0" encoding="utf-8"?>
<Properties xmlns="http://schemas.openxmlformats.org/officeDocument/2006/extended-properties" xmlns:vt="http://schemas.openxmlformats.org/officeDocument/2006/docPropsVTypes">
  <Template>Normal</Template>
  <Pages>5</Pages>
  <Words>237</Words>
  <Characters>1357</Characters>
  <Lines>11</Lines>
  <Paragraphs>3</Paragraphs>
  <TotalTime>3</TotalTime>
  <ScaleCrop>false</ScaleCrop>
  <LinksUpToDate>false</LinksUpToDate>
  <CharactersWithSpaces>1591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2024-06-03T08:53:00Z</dcterms:created>
  <dc:creator>LENOVO</dc:creator>
  <cp:lastModifiedBy>齐飞</cp:lastModifiedBy>
  <dcterms:modified xsi:type="dcterms:W3CDTF">2026-07-01T04:19:16Z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5903919465A243EFAD7FB12BE594129F</vt:lpwstr>
  </property>
</Properties>
</file>