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spacing w:line="560" w:lineRule="exact"/>
        <w:ind w:left="0"/>
        <w:jc w:val="both"/>
        <w:rPr>
          <w:sz w:val="32"/>
          <w:szCs w:val="32"/>
        </w:rPr>
      </w:pPr>
    </w:p>
    <w:p>
      <w:pPr>
        <w:pStyle w:val="15"/>
        <w:spacing w:line="560" w:lineRule="exact"/>
        <w:ind w:left="0"/>
        <w:rPr>
          <w:rFonts w:ascii="Times New Roman" w:eastAsia="方正小标宋_GBK" w:hAnsi="Times New Roman"/>
          <w:kern w:val="36"/>
          <w:sz w:val="36"/>
          <w:szCs w:val="36"/>
          <w:shd w:val="clear" w:color="auto" w:fill="auto"/>
        </w:rPr>
      </w:pPr>
      <w:r>
        <w:rPr>
          <w:rFonts w:ascii="Times New Roman" w:eastAsia="方正小标宋_GBK" w:hAnsi="Times New Roman"/>
          <w:kern w:val="36"/>
          <w:sz w:val="36"/>
          <w:szCs w:val="36"/>
          <w:shd w:val="clear" w:color="auto" w:fill="auto"/>
        </w:rPr>
        <w:t>关于</w:t>
      </w:r>
      <w:r>
        <w:rPr>
          <w:rFonts w:ascii="Times New Roman" w:eastAsia="方正小标宋_GBK" w:hAnsi="Times New Roman" w:hint="eastAsia"/>
          <w:kern w:val="36"/>
          <w:sz w:val="36"/>
          <w:szCs w:val="36"/>
          <w:shd w:val="clear" w:color="auto" w:fill="auto"/>
        </w:rPr>
        <w:t>《中华人民共和国进出口货物原产地条例</w:t>
      </w:r>
    </w:p>
    <w:p>
      <w:pPr>
        <w:pStyle w:val="15"/>
        <w:spacing w:line="560" w:lineRule="exact"/>
        <w:ind w:left="0"/>
        <w:rPr>
          <w:rFonts w:ascii="Times New Roman" w:eastAsia="方正小标宋_GBK" w:hAnsi="Times New Roman"/>
          <w:kern w:val="36"/>
          <w:sz w:val="36"/>
          <w:szCs w:val="36"/>
          <w:shd w:val="clear" w:color="auto" w:fill="auto"/>
        </w:rPr>
      </w:pPr>
      <w:r>
        <w:rPr>
          <w:rFonts w:ascii="Times New Roman" w:eastAsia="方正小标宋_GBK" w:hAnsi="Times New Roman"/>
          <w:kern w:val="36"/>
          <w:sz w:val="36"/>
          <w:szCs w:val="36"/>
          <w:shd w:val="clear" w:color="auto" w:fill="auto"/>
        </w:rPr>
        <w:t>（修改草案征求意见稿）</w:t>
      </w:r>
      <w:r>
        <w:rPr>
          <w:rFonts w:ascii="Times New Roman" w:eastAsia="方正小标宋_GBK" w:hAnsi="Times New Roman" w:hint="eastAsia"/>
          <w:kern w:val="36"/>
          <w:sz w:val="36"/>
          <w:szCs w:val="36"/>
          <w:shd w:val="clear" w:color="auto" w:fill="auto"/>
        </w:rPr>
        <w:t>》</w:t>
      </w:r>
      <w:r>
        <w:rPr>
          <w:rFonts w:ascii="Times New Roman" w:eastAsia="方正小标宋_GBK" w:hAnsi="Times New Roman"/>
          <w:kern w:val="36"/>
          <w:sz w:val="36"/>
          <w:szCs w:val="36"/>
          <w:shd w:val="clear" w:color="auto" w:fill="auto"/>
        </w:rPr>
        <w:t>的修改说明</w:t>
      </w:r>
    </w:p>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Times New Roman" w:eastAsia="方正仿宋_GBK" w:hAnsi="Times New Roman"/>
          <w:sz w:val="32"/>
          <w:szCs w:val="32"/>
          <w:shd w:val="clear" w:color="auto" w:fill="auto"/>
        </w:rPr>
        <w:t>《中华人民共和国进出口货物原产地条例》（以下简称《条例》）是我国非优惠原产地规则的基础行政法规，于2005年1月1起施行。为更好发挥原产地规则服务经贸发展作用，海关总署在吸纳各相关部门意见基础上，结合外贸实际和产业发展需求，研究形成了《条例（修改草案征求意见稿）》（以下简称《征求意见稿》）。现说明如下</w:t>
      </w:r>
      <w:bookmarkStart w:id="0" w:name="_GoBack"/>
      <w:bookmarkEnd w:id="0"/>
      <w:r>
        <w:rPr>
          <w:rFonts w:ascii="Times New Roman" w:eastAsia="方正仿宋_GBK" w:hAnsi="Times New Roman"/>
          <w:sz w:val="32"/>
          <w:szCs w:val="32"/>
          <w:shd w:val="clear" w:color="auto" w:fill="auto"/>
        </w:rPr>
        <w:t>：</w:t>
      </w:r>
    </w:p>
    <w:p>
      <w:pPr>
        <w:spacing w:line="560" w:lineRule="exact"/>
        <w:ind w:left="0" w:firstLineChars="200" w:firstLine="640"/>
        <w:rPr>
          <w:rFonts w:ascii="Times New Roman" w:eastAsia="方正仿宋_GBK" w:hAnsi="Times New Roman"/>
          <w:sz w:val="32"/>
          <w:szCs w:val="32"/>
          <w:shd w:val="clear" w:color="auto" w:fill="auto"/>
        </w:rPr>
      </w:pPr>
      <w:r>
        <w:rPr>
          <w:rFonts w:ascii="方正黑体_GBK" w:eastAsia="方正黑体_GBK" w:hint="eastAsia"/>
          <w:sz w:val="32"/>
          <w:szCs w:val="32"/>
          <w:shd w:val="clear" w:color="auto" w:fill="auto"/>
        </w:rPr>
        <w:t>一、修</w:t>
      </w:r>
      <w:r>
        <w:rPr>
          <w:rFonts w:ascii="方正黑体_GBK" w:eastAsia="方正黑体_GBK"/>
          <w:sz w:val="32"/>
          <w:szCs w:val="32"/>
          <w:shd w:val="clear" w:color="auto" w:fill="auto"/>
        </w:rPr>
        <w:t>改的必要性</w:t>
      </w:r>
    </w:p>
    <w:p>
      <w:pPr>
        <w:adjustRightInd w:val="0"/>
        <w:snapToGrid w:val="0"/>
        <w:spacing w:line="560" w:lineRule="exact"/>
        <w:ind w:firstLineChars="200" w:firstLine="640"/>
        <w:rPr>
          <w:rFonts w:ascii="Times New Roman" w:eastAsia="方正仿宋_GBK" w:hAnsi="Times New Roman"/>
          <w:bCs/>
          <w:sz w:val="32"/>
          <w:szCs w:val="32"/>
          <w:shd w:val="clear" w:color="auto" w:fill="auto"/>
        </w:rPr>
      </w:pPr>
      <w:r>
        <w:rPr>
          <w:rFonts w:ascii="Times New Roman" w:eastAsia="方正仿宋_GBK" w:hAnsi="Times New Roman"/>
          <w:bCs/>
          <w:sz w:val="32"/>
          <w:szCs w:val="32"/>
          <w:shd w:val="clear" w:color="auto" w:fill="auto"/>
        </w:rPr>
        <w:t>原产地是货物的经济国籍，原产地规则是确定货物原产地的标准。现行《条例》颁布以来，在实施非优惠性贸易措施以及政府采购、贸易统计等对货物原产地确定方面发挥了重要作用。新形势下，有必要对《条例》有关内容进行修改，为促进我国对外贸易发展、维护我国产业利益提供更加有力的法治保障。</w:t>
      </w:r>
    </w:p>
    <w:p>
      <w:pPr>
        <w:pStyle w:val="53"/>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（一）修改《条例》是扩大制度型开放、加强法治建设的需要</w:t>
      </w:r>
      <w:r>
        <w:rPr>
          <w:rFonts w:ascii="方正楷体_GBK" w:eastAsia="方正楷体_GBK" w:hint="eastAsia"/>
          <w:b/>
          <w:bCs/>
          <w:sz w:val="32"/>
          <w:szCs w:val="32"/>
          <w:shd w:val="clear" w:color="auto" w:fill="auto"/>
        </w:rPr>
        <w:t>。</w:t>
      </w:r>
      <w:r>
        <w:rPr>
          <w:rFonts w:ascii="Times New Roman" w:eastAsia="方正仿宋_GBK" w:hAnsi="Times New Roman"/>
          <w:bCs/>
          <w:sz w:val="32"/>
          <w:szCs w:val="32"/>
          <w:shd w:val="clear" w:color="auto" w:fill="auto"/>
        </w:rPr>
        <w:t>习近平总书记在党的二十大报告中指出，要推进高水平开放，稳步扩大规则、规制、管理、标准等制度型开放。近年来，我国外贸形势不断发展变化，</w:t>
      </w:r>
      <w:r>
        <w:rPr>
          <w:rFonts w:ascii="Times New Roman" w:eastAsia="方正仿宋_GBK" w:hAnsi="Times New Roman"/>
          <w:sz w:val="32"/>
          <w:szCs w:val="32"/>
          <w:shd w:val="clear" w:color="auto" w:fill="auto"/>
        </w:rPr>
        <w:t>修改完善《条例》有关内容，提高非优惠原产地规则法制水平，是促进对外贸易发展、实施更加积极主动开放战略的必然要求。</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（二）修改《条例》是服务外贸高质量发展的需要。</w:t>
      </w:r>
      <w:r>
        <w:rPr>
          <w:rFonts w:ascii="Times New Roman" w:eastAsia="方正仿宋_GBK" w:hAnsi="Times New Roman"/>
          <w:bCs/>
          <w:sz w:val="32"/>
          <w:szCs w:val="32"/>
          <w:shd w:val="clear" w:color="auto" w:fill="auto"/>
        </w:rPr>
        <w:t>近年来，我国外贸新业态新模式蓬勃兴起，产业链条不断延伸，从原材料到终端产品各环节的分工更趋精细。需要通过《条例》有关内容的修改，丰富非优惠原产地规则，以适应目前国际分工协作日益复杂精细的实际，为准确确定进出口货物的原产地提供有力支持</w:t>
      </w:r>
      <w:r>
        <w:rPr>
          <w:rFonts w:ascii="Times New Roman" w:eastAsia="方正仿宋_GBK" w:hAnsi="Times New Roman"/>
          <w:sz w:val="32"/>
          <w:szCs w:val="32"/>
          <w:shd w:val="clear" w:color="auto" w:fill="auto"/>
        </w:rPr>
        <w:t>。</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（三）修改《条例》是配套落实《中华人民共和国关税法》（以下简称《关税法》）相关规定的需要。</w:t>
      </w:r>
      <w:r>
        <w:rPr>
          <w:rFonts w:ascii="方正仿宋_GBK" w:eastAsia="方正仿宋_GBK" w:cs="方正仿宋_GBK" w:hint="eastAsia"/>
          <w:sz w:val="32"/>
          <w:szCs w:val="32"/>
          <w:shd w:val="clear" w:color="auto" w:fill="auto"/>
        </w:rPr>
        <w:t>《关税法</w:t>
      </w:r>
      <w:r>
        <w:rPr>
          <w:rFonts w:ascii="Times New Roman" w:eastAsia="方正仿宋_GBK" w:cs="Times New Roman" w:hAnsi="Times New Roman"/>
          <w:sz w:val="32"/>
          <w:szCs w:val="32"/>
          <w:shd w:val="clear" w:color="auto" w:fill="auto"/>
        </w:rPr>
        <w:t>》已于2024年12月1日起</w:t>
      </w:r>
      <w:r>
        <w:rPr>
          <w:rFonts w:ascii="方正仿宋_GBK" w:eastAsia="方正仿宋_GBK" w:cs="方正仿宋_GBK"/>
          <w:sz w:val="32"/>
          <w:szCs w:val="32"/>
          <w:shd w:val="clear" w:color="auto" w:fill="auto"/>
        </w:rPr>
        <w:t>实施，其中将关税征收管理可以实施货物放行与税额确定相分离的模式、海关可以依申请或者依职权对进口货物的原产地依法进行确定等海关监管成熟经验和做法上升为法律。需要相应对《条例》相关内容进行修改，推进配套落实</w:t>
      </w:r>
      <w:r>
        <w:rPr>
          <w:rFonts w:ascii="Times New Roman" w:eastAsia="方正仿宋_GBK" w:hAnsi="Times New Roman"/>
          <w:sz w:val="32"/>
          <w:szCs w:val="32"/>
          <w:shd w:val="clear" w:color="auto" w:fill="auto"/>
        </w:rPr>
        <w:t>。</w:t>
      </w:r>
    </w:p>
    <w:p>
      <w:pPr>
        <w:spacing w:line="560" w:lineRule="exact"/>
        <w:ind w:left="0" w:firstLineChars="200" w:firstLine="640"/>
        <w:rPr>
          <w:rFonts w:ascii="Times New Roman" w:eastAsia="方正仿宋_GBK" w:hAnsi="Times New Roman"/>
          <w:sz w:val="32"/>
          <w:szCs w:val="32"/>
          <w:shd w:val="clear" w:color="auto" w:fill="auto"/>
        </w:rPr>
      </w:pPr>
      <w:r>
        <w:rPr>
          <w:rFonts w:ascii="方正黑体_GBK" w:eastAsia="方正黑体_GBK"/>
          <w:sz w:val="32"/>
          <w:szCs w:val="32"/>
          <w:shd w:val="clear" w:color="auto" w:fill="auto"/>
        </w:rPr>
        <w:t>二</w:t>
      </w:r>
      <w:r>
        <w:rPr>
          <w:rFonts w:ascii="方正黑体_GBK" w:eastAsia="方正黑体_GBK" w:hint="eastAsia"/>
          <w:sz w:val="32"/>
          <w:szCs w:val="32"/>
          <w:shd w:val="clear" w:color="auto" w:fill="auto"/>
        </w:rPr>
        <w:t>、总体思路</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一是急用现行。</w:t>
      </w:r>
      <w:r>
        <w:rPr>
          <w:rFonts w:ascii="Times New Roman" w:eastAsia="方正仿宋_GBK" w:hAnsi="Times New Roman"/>
          <w:sz w:val="32"/>
          <w:szCs w:val="32"/>
          <w:shd w:val="clear" w:color="auto" w:fill="auto"/>
        </w:rPr>
        <w:t>不改变《条例》现行框架，仅对其中第三条、第五条、第十条和第十三条等4个条款进行修改。</w:t>
      </w:r>
      <w:r>
        <w:rPr>
          <w:rFonts w:ascii="方正楷体_GBK" w:eastAsia="方正楷体_GBK"/>
          <w:b/>
          <w:bCs/>
          <w:sz w:val="32"/>
          <w:szCs w:val="32"/>
          <w:shd w:val="clear" w:color="auto" w:fill="auto"/>
        </w:rPr>
        <w:t>二是协调衔接。</w:t>
      </w:r>
      <w:r>
        <w:rPr>
          <w:rFonts w:ascii="Times New Roman" w:eastAsia="方正仿宋_GBK" w:hAnsi="Times New Roman"/>
          <w:sz w:val="32"/>
          <w:szCs w:val="32"/>
          <w:shd w:val="clear" w:color="auto" w:fill="auto"/>
        </w:rPr>
        <w:t>在第三条仅增加了对原产地确定标准制定补充规定的内容，为根据实际需要细化并适时完善规则提供依据。</w:t>
      </w:r>
      <w:r>
        <w:rPr>
          <w:rFonts w:ascii="方正楷体_GBK" w:eastAsia="方正楷体_GBK"/>
          <w:b/>
          <w:bCs/>
          <w:sz w:val="32"/>
          <w:szCs w:val="32"/>
          <w:shd w:val="clear" w:color="auto" w:fill="auto"/>
        </w:rPr>
        <w:t>三是问题导向。</w:t>
      </w:r>
      <w:r>
        <w:rPr>
          <w:rFonts w:ascii="Times New Roman" w:eastAsia="方正仿宋_GBK" w:hAnsi="Times New Roman"/>
          <w:sz w:val="32"/>
          <w:szCs w:val="32"/>
          <w:shd w:val="clear" w:color="auto" w:fill="auto"/>
        </w:rPr>
        <w:t>解决目前贸易实践在原产地确定方面遇到的问题。</w:t>
      </w:r>
    </w:p>
    <w:p>
      <w:pPr>
        <w:spacing w:line="560" w:lineRule="exact"/>
        <w:ind w:left="0" w:firstLineChars="200" w:firstLine="640"/>
        <w:rPr>
          <w:rFonts w:ascii="Times New Roman" w:eastAsia="方正仿宋_GBK" w:hAnsi="Times New Roman"/>
          <w:sz w:val="32"/>
          <w:szCs w:val="32"/>
          <w:shd w:val="clear" w:color="auto" w:fill="auto"/>
        </w:rPr>
      </w:pPr>
      <w:r>
        <w:rPr>
          <w:rFonts w:ascii="方正黑体_GBK" w:eastAsia="方正黑体_GBK"/>
          <w:sz w:val="32"/>
          <w:szCs w:val="32"/>
          <w:shd w:val="clear" w:color="auto" w:fill="auto"/>
        </w:rPr>
        <w:t>三</w:t>
      </w:r>
      <w:r>
        <w:rPr>
          <w:rFonts w:ascii="方正黑体_GBK" w:eastAsia="方正黑体_GBK" w:hint="eastAsia"/>
          <w:sz w:val="32"/>
          <w:szCs w:val="32"/>
          <w:shd w:val="clear" w:color="auto" w:fill="auto"/>
        </w:rPr>
        <w:t>、修订内容</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（一）增加另行制定原产地确定补充规则的规定（第三条）。</w:t>
      </w:r>
      <w:r>
        <w:rPr>
          <w:rFonts w:ascii="Times New Roman" w:eastAsia="方正仿宋_GBK" w:hAnsi="Times New Roman"/>
          <w:sz w:val="32"/>
          <w:szCs w:val="32"/>
          <w:shd w:val="clear" w:color="auto" w:fill="auto"/>
        </w:rPr>
        <w:t>根据《条例》第三条，货物原产地确定标准包括完全获得和实质性改变。但在实践中，还存在根据这两种标准无法确定货物原产地的情形，即货物原材料来自于多个国家（地区），但在最终生产国家（地区）并未发生实质性改变的情形。根据目前《条例》关于原产地确定的规则，对上述情形只能确定该货物的原产地并非该最终生产国家（地区），但不能确定其原产地为哪个国家（地区）。因此，增加</w:t>
      </w:r>
      <w:r>
        <w:rPr>
          <w:rFonts w:ascii="Times New Roman" w:eastAsia="方正仿宋_GBK" w:hAnsi="Times New Roman" w:hint="eastAsia"/>
          <w:sz w:val="32"/>
          <w:szCs w:val="32"/>
          <w:shd w:val="clear" w:color="auto" w:fill="auto"/>
        </w:rPr>
        <w:t>按照前款无法确定货物</w:t>
      </w:r>
      <w:r>
        <w:rPr>
          <w:rFonts w:ascii="Times New Roman" w:eastAsia="方正仿宋_GBK" w:hAnsi="Times New Roman"/>
          <w:sz w:val="32"/>
          <w:szCs w:val="32"/>
          <w:shd w:val="clear" w:color="auto" w:fill="auto"/>
        </w:rPr>
        <w:t>原产地的，由海关总署另行制定相关补充规定的表述，为进一步通过补充规则完善我国非优惠原产地规则提供依据。</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楷体_GBK" w:eastAsia="方正楷体_GBK"/>
          <w:b/>
          <w:bCs/>
          <w:sz w:val="32"/>
          <w:szCs w:val="32"/>
          <w:shd w:val="clear" w:color="auto" w:fill="auto"/>
        </w:rPr>
        <w:t>（二）调整在确定货物原产地时不考虑微小加工或处理的适用情形（第五条）。</w:t>
      </w:r>
      <w:r>
        <w:rPr>
          <w:rFonts w:ascii="Times New Roman" w:eastAsia="方正仿宋_GBK" w:hAnsi="Times New Roman"/>
          <w:sz w:val="32"/>
          <w:szCs w:val="32"/>
          <w:shd w:val="clear" w:color="auto" w:fill="auto"/>
        </w:rPr>
        <w:t>《条例》第五条明确</w:t>
      </w:r>
      <w:r>
        <w:rPr>
          <w:rFonts w:ascii="Times New Roman" w:eastAsia="方正仿宋_GBK" w:hAnsi="Times New Roman" w:hint="eastAsia"/>
          <w:sz w:val="32"/>
          <w:szCs w:val="32"/>
          <w:shd w:val="clear" w:color="auto" w:fill="auto"/>
        </w:rPr>
        <w:t>“微小加工或处理”</w:t>
      </w:r>
      <w:r>
        <w:rPr>
          <w:rFonts w:ascii="Times New Roman" w:eastAsia="方正仿宋_GBK" w:hAnsi="Times New Roman"/>
          <w:sz w:val="32"/>
          <w:szCs w:val="32"/>
          <w:shd w:val="clear" w:color="auto" w:fill="auto"/>
        </w:rPr>
        <w:t>不影响</w:t>
      </w:r>
      <w:r>
        <w:rPr>
          <w:rFonts w:ascii="Times New Roman" w:eastAsia="方正仿宋_GBK" w:hAnsi="Times New Roman" w:hint="eastAsia"/>
          <w:sz w:val="32"/>
          <w:szCs w:val="32"/>
          <w:shd w:val="clear" w:color="auto" w:fill="auto"/>
        </w:rPr>
        <w:t>“完全获得”</w:t>
      </w:r>
      <w:r>
        <w:rPr>
          <w:rFonts w:ascii="Times New Roman" w:eastAsia="方正仿宋_GBK" w:hAnsi="Times New Roman"/>
          <w:sz w:val="32"/>
          <w:szCs w:val="32"/>
          <w:shd w:val="clear" w:color="auto" w:fill="auto"/>
        </w:rPr>
        <w:t>货物原产地的确定。而在实践中，无论采用完全获得还是实质性改变标准确定货物的原产地，都涉及微小加工或处理的适用。因此，《征求意见稿》将</w:t>
      </w:r>
      <w:r>
        <w:rPr>
          <w:rFonts w:ascii="Times New Roman" w:eastAsia="方正仿宋_GBK" w:hAnsi="Times New Roman" w:hint="eastAsia"/>
          <w:sz w:val="32"/>
          <w:szCs w:val="32"/>
          <w:shd w:val="clear" w:color="auto" w:fill="auto"/>
        </w:rPr>
        <w:t>“在确定货物是否在一个国家（地区）</w:t>
      </w:r>
      <w:r>
        <w:rPr>
          <w:rFonts w:ascii="Times New Roman" w:eastAsia="方正仿宋_GBK" w:hAnsi="Times New Roman"/>
          <w:sz w:val="32"/>
          <w:szCs w:val="32"/>
          <w:shd w:val="clear" w:color="auto" w:fill="auto"/>
        </w:rPr>
        <w:t>完全获得时，不考虑下列微小加工或者处理</w:t>
      </w:r>
      <w:r>
        <w:rPr>
          <w:rFonts w:ascii="Times New Roman" w:eastAsia="方正仿宋_GBK" w:hAnsi="Times New Roman" w:hint="eastAsia"/>
          <w:sz w:val="32"/>
          <w:szCs w:val="32"/>
          <w:shd w:val="clear" w:color="auto" w:fill="auto"/>
        </w:rPr>
        <w:t>”</w:t>
      </w:r>
      <w:r>
        <w:rPr>
          <w:rFonts w:ascii="Times New Roman" w:eastAsia="方正仿宋_GBK" w:hAnsi="Times New Roman"/>
          <w:sz w:val="32"/>
          <w:szCs w:val="32"/>
          <w:shd w:val="clear" w:color="auto" w:fill="auto"/>
        </w:rPr>
        <w:t>调整为</w:t>
      </w:r>
      <w:r>
        <w:rPr>
          <w:rFonts w:ascii="Times New Roman" w:eastAsia="方正仿宋_GBK" w:hAnsi="Times New Roman" w:hint="eastAsia"/>
          <w:sz w:val="32"/>
          <w:szCs w:val="32"/>
          <w:shd w:val="clear" w:color="auto" w:fill="auto"/>
        </w:rPr>
        <w:t>“在确定货物原产地时，不考虑下列微小加工或者处理”</w:t>
      </w:r>
      <w:r>
        <w:rPr>
          <w:rFonts w:ascii="Times New Roman" w:eastAsia="方正仿宋_GBK" w:hAnsi="Times New Roman"/>
          <w:sz w:val="32"/>
          <w:szCs w:val="32"/>
          <w:shd w:val="clear" w:color="auto" w:fill="auto"/>
        </w:rPr>
        <w:t>。</w:t>
      </w:r>
    </w:p>
    <w:p>
      <w:pPr>
        <w:adjustRightInd w:val="0"/>
        <w:snapToGrid w:val="0"/>
        <w:spacing w:line="560" w:lineRule="exact"/>
        <w:ind w:firstLineChars="200" w:firstLine="640"/>
        <w:rPr>
          <w:rFonts w:ascii="方正楷体_GBK" w:eastAsia="方正楷体_GBK"/>
          <w:b/>
          <w:bCs/>
          <w:sz w:val="32"/>
          <w:szCs w:val="32"/>
          <w:shd w:val="clear" w:color="auto" w:fill="auto"/>
        </w:rPr>
      </w:pPr>
      <w:r>
        <w:rPr>
          <w:rFonts w:ascii="方正楷体_GBK" w:eastAsia="方正楷体_GBK"/>
          <w:b/>
          <w:bCs/>
          <w:sz w:val="32"/>
          <w:szCs w:val="32"/>
          <w:shd w:val="clear" w:color="auto" w:fill="auto"/>
        </w:rPr>
        <w:t>（三）增加衔接《关税法》相关条款的规定。</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方正仿宋_GBK" w:eastAsia="方正仿宋_GBK" w:cs="方正仿宋_GBK" w:hint="eastAsia"/>
          <w:sz w:val="32"/>
          <w:szCs w:val="32"/>
          <w:shd w:val="clear" w:color="auto" w:fill="auto"/>
        </w:rPr>
        <w:t>一是</w:t>
      </w:r>
      <w:r>
        <w:rPr>
          <w:rFonts w:ascii="Times New Roman" w:eastAsia="方正仿宋_GBK" w:hAnsi="Times New Roman"/>
          <w:sz w:val="32"/>
          <w:szCs w:val="32"/>
          <w:shd w:val="clear" w:color="auto" w:fill="auto"/>
        </w:rPr>
        <w:t>《关税法》增加规定（第十七条），对不履行与我国缔结或者共同参加的国际条约、协定中的最惠国待遇条款或者关税优惠条款的国家或地区，可以按照对等原则采取相应措施；并在第五十四条规定，对规避本法有关规定，不具有合理商业目的而减少应纳税额的行为，国家可以采取调整关税等反规避措施。《征求意见稿》对《条例》第十条内容进行了配套修改，以与《关税法》上述规定进行衔接。</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Times New Roman" w:eastAsia="方正仿宋_GBK" w:hAnsi="Times New Roman"/>
          <w:sz w:val="32"/>
          <w:szCs w:val="32"/>
          <w:shd w:val="clear" w:color="auto" w:fill="auto"/>
        </w:rPr>
        <w:t>二是《关税法》第三十一条规定，</w:t>
      </w:r>
      <w:r>
        <w:rPr>
          <w:rFonts w:ascii="Times New Roman" w:eastAsia="方正仿宋_GBK" w:hAnsi="Times New Roman" w:hint="eastAsia"/>
          <w:sz w:val="32"/>
          <w:szCs w:val="32"/>
          <w:shd w:val="clear" w:color="auto" w:fill="auto"/>
        </w:rPr>
        <w:t>“海关</w:t>
      </w:r>
      <w:r>
        <w:rPr>
          <w:rFonts w:ascii="Times New Roman" w:eastAsia="方正仿宋_GBK" w:hAnsi="Times New Roman"/>
          <w:sz w:val="32"/>
          <w:szCs w:val="32"/>
          <w:shd w:val="clear" w:color="auto" w:fill="auto"/>
        </w:rPr>
        <w:t>可以</w:t>
      </w:r>
      <w:r>
        <w:rPr>
          <w:rFonts w:ascii="Times New Roman" w:eastAsia="方正仿宋_GBK" w:hAnsi="Times New Roman" w:hint="eastAsia"/>
          <w:sz w:val="32"/>
          <w:szCs w:val="32"/>
          <w:shd w:val="clear" w:color="auto" w:fill="auto"/>
        </w:rPr>
        <w:t>依申请或者依职权，对进出口货物、进境物品的计税价格、</w:t>
      </w:r>
      <w:r>
        <w:rPr>
          <w:rFonts w:ascii="Times New Roman" w:eastAsia="方正仿宋_GBK" w:hAnsi="Times New Roman"/>
          <w:sz w:val="32"/>
          <w:szCs w:val="32"/>
          <w:shd w:val="clear" w:color="auto" w:fill="auto"/>
        </w:rPr>
        <w:t>商品归类和原产地依法进行确定</w:t>
      </w:r>
      <w:r>
        <w:rPr>
          <w:rFonts w:ascii="Times New Roman" w:eastAsia="方正仿宋_GBK" w:hAnsi="Times New Roman" w:hint="eastAsia"/>
          <w:sz w:val="32"/>
          <w:szCs w:val="32"/>
          <w:shd w:val="clear" w:color="auto" w:fill="auto"/>
        </w:rPr>
        <w:t>”</w:t>
      </w:r>
      <w:r>
        <w:rPr>
          <w:rFonts w:ascii="Times New Roman" w:eastAsia="方正仿宋_GBK" w:hAnsi="Times New Roman"/>
          <w:sz w:val="32"/>
          <w:szCs w:val="32"/>
          <w:shd w:val="clear" w:color="auto" w:fill="auto"/>
        </w:rPr>
        <w:t>。为做好与《关税法》的衔接配套，《征求意见稿》将《条例》第十三条第一款修改为</w:t>
      </w:r>
      <w:r>
        <w:rPr>
          <w:rFonts w:ascii="Times New Roman" w:eastAsia="方正仿宋_GBK" w:hAnsi="Times New Roman" w:hint="eastAsia"/>
          <w:sz w:val="32"/>
          <w:szCs w:val="32"/>
          <w:shd w:val="clear" w:color="auto" w:fill="auto"/>
        </w:rPr>
        <w:t>“</w:t>
      </w:r>
      <w:r>
        <w:rPr>
          <w:rFonts w:ascii="Times New Roman" w:eastAsia="方正仿宋_GBK" w:hAnsi="Times New Roman"/>
          <w:sz w:val="32"/>
          <w:szCs w:val="32"/>
          <w:shd w:val="clear" w:color="auto" w:fill="auto"/>
        </w:rPr>
        <w:t>海关接受申报后，可以依申请或者依职权，按照本条例的规定审核确定进口货物的原产地</w:t>
      </w:r>
      <w:r>
        <w:rPr>
          <w:rFonts w:ascii="Times New Roman" w:eastAsia="方正仿宋_GBK" w:hAnsi="Times New Roman" w:hint="eastAsia"/>
          <w:sz w:val="32"/>
          <w:szCs w:val="32"/>
          <w:shd w:val="clear" w:color="auto" w:fill="auto"/>
        </w:rPr>
        <w:t>”</w:t>
      </w:r>
      <w:r>
        <w:rPr>
          <w:rFonts w:ascii="Times New Roman" w:eastAsia="方正仿宋_GBK" w:hAnsi="Times New Roman"/>
          <w:sz w:val="32"/>
          <w:szCs w:val="32"/>
          <w:shd w:val="clear" w:color="auto" w:fill="auto"/>
        </w:rPr>
        <w:t>。</w:t>
      </w:r>
    </w:p>
    <w:p>
      <w:pPr>
        <w:adjustRightInd w:val="0"/>
        <w:snapToGrid w:val="0"/>
        <w:spacing w:line="560" w:lineRule="exact"/>
        <w:ind w:firstLineChars="200" w:firstLine="640"/>
        <w:rPr>
          <w:rFonts w:ascii="Times New Roman" w:eastAsia="方正仿宋_GBK" w:hAnsi="Times New Roman"/>
          <w:sz w:val="32"/>
          <w:szCs w:val="32"/>
          <w:shd w:val="clear" w:color="auto" w:fill="auto"/>
        </w:rPr>
      </w:pPr>
      <w:r>
        <w:rPr>
          <w:rFonts w:ascii="Times New Roman" w:eastAsia="方正仿宋_GBK" w:hAnsi="Times New Roman"/>
          <w:sz w:val="32"/>
          <w:szCs w:val="32"/>
          <w:shd w:val="clear" w:color="auto" w:fill="auto"/>
        </w:rPr>
        <w:t>特此说明。</w:t>
      </w:r>
    </w:p>
    <w:sectPr>
      <w:footerReference w:type="default" r:id="rId2"/>
      <w:footerReference w:type="even" r:id="rId3"/>
      <w:footerReference w:type="first" r:id="rId4"/>
      <w:pgSz w:w="11907" w:h="16839"/>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auto"/>
    <w:pitch w:val="variable"/>
    <w:sig w:usb0="00000A87" w:usb1="00000000" w:usb2="00000000" w:usb3="00000000" w:csb0="400001BF" w:csb1="DFF7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2000000000000000000"/>
    <w:charset w:val="86"/>
    <w:family w:val="script"/>
    <w:pitch w:val="variable"/>
    <w:sig w:usb0="00000001" w:usb1="08000000" w:usb2="00000000" w:usb3="00000000" w:csb0="00040000" w:csb1="00000000"/>
  </w:font>
  <w:font w:name="方正楷体_GBK">
    <w:panose1 w:val="02000000000000000000"/>
    <w:charset w:val="86"/>
    <w:family w:val="script"/>
    <w:pitch w:val="variable"/>
    <w:sig w:usb0="00000001" w:usb1="08000000" w:usb2="00000000" w:usb3="00000000" w:csb0="00040000" w:csb1="00000000"/>
  </w:font>
  <w:font w:name="宋体">
    <w:altName w:val="方正书宋_GBK"/>
    <w:panose1 w:val="02010600030101010101"/>
    <w:charset w:val="86"/>
    <w:family w:val="auto"/>
    <w:pitch w:val="variable"/>
    <w:sig w:usb0="00000003" w:usb1="080E0000" w:usb2="00000000" w:usb3="00000000" w:csb0="00040001" w:csb1="00000000"/>
  </w:font>
  <w:font w:name="Calibri">
    <w:altName w:val="DejaVu Sans"/>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Wingdings">
    <w:altName w:val="DejaVu San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4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50"/>
      </w:rPr>
      <w:fldChar w:fldCharType="begin"/>
    </w:r>
    <w:r>
      <w:rPr>
        <w:rStyle w:val="50"/>
      </w:rPr>
      <w:instrText>Page</w:instrText>
    </w:r>
    <w:r>
      <w:rPr>
        <w:rStyle w:val="50"/>
      </w:rPr>
      <w:fldChar w:fldCharType="separate"/>
    </w:r>
    <w:r>
      <w:rPr>
        <w:rStyle w:val="50"/>
      </w:rPr>
      <w:t>1</w:t>
    </w:r>
    <w:r>
      <w:rPr>
        <w:rStyle w:val="50"/>
      </w:rPr>
      <w:fldChar w:fldCharType="end"/>
    </w:r>
  </w:p>
  <w:p>
    <w:pPr>
      <w:pStyle w:val="49"/>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4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50"/>
      </w:rPr>
      <w:fldChar w:fldCharType="begin"/>
    </w:r>
    <w:r>
      <w:rPr>
        <w:rStyle w:val="50"/>
      </w:rPr>
      <w:instrText>Page</w:instrText>
    </w:r>
    <w:r>
      <w:rPr>
        <w:rStyle w:val="50"/>
      </w:rPr>
      <w:fldChar w:fldCharType="separate"/>
    </w:r>
    <w:r>
      <w:rPr>
        <w:rStyle w:val="50"/>
      </w:rPr>
      <w:t>1</w:t>
    </w:r>
    <w:r>
      <w:rPr>
        <w:rStyle w:val="50"/>
      </w:rPr>
      <w:fldChar w:fldCharType="end"/>
    </w:r>
  </w:p>
  <w:p>
    <w:pPr>
      <w:pStyle w:val="49"/>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4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50"/>
      </w:rPr>
      <w:fldChar w:fldCharType="begin"/>
    </w:r>
    <w:r>
      <w:rPr>
        <w:rStyle w:val="50"/>
      </w:rPr>
      <w:instrText>Page</w:instrText>
    </w:r>
    <w:r>
      <w:rPr>
        <w:rStyle w:val="50"/>
      </w:rPr>
      <w:fldChar w:fldCharType="separate"/>
    </w:r>
    <w:r>
      <w:rPr>
        <w:rStyle w:val="50"/>
      </w:rPr>
      <w:t>1</w:t>
    </w:r>
    <w:r>
      <w:rPr>
        <w:rStyle w:val="50"/>
      </w:rPr>
      <w:fldChar w:fldCharType="end"/>
    </w:r>
  </w:p>
  <w:p>
    <w:pPr>
      <w:pStyle w:val="49"/>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743820"/>
    <w:multiLevelType w:val="singleLevel"/>
    <w:tmpl w:val="00000000"/>
    <w:lvl w:ilvl="0">
      <w:start w:val="1"/>
      <w:numFmt w:val="bullet"/>
      <w:lvlRestart w:val="0"/>
      <w:lvlText w:val=""/>
      <w:lvlJc w:val="left"/>
      <w:pPr>
        <w:tabs>
          <w:tab w:val="num" w:pos="2040"/>
        </w:tabs>
        <w:ind w:left="204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9"/>
    <w:basedOn w:val="0"/>
    <w:autoRedefine/>
    <w:next w:val="0"/>
    <w:pPr>
      <w:ind w:left="3360"/>
      <w:jc w:val="center"/>
    </w:pPr>
    <w:rPr>
      <w:rFonts w:ascii="方正黑体_GBK" w:eastAsia="方正黑体_GBK" w:cs="方正黑体_GBK"/>
      <w:sz w:val="32"/>
      <w:szCs w:val="32"/>
    </w:rPr>
  </w:style>
  <w:style w:type="paragraph" w:styleId="16">
    <w:name w:val="List 5"/>
    <w:basedOn w:val="0"/>
    <w:pPr>
      <w:ind w:left="2100" w:hanging="420"/>
    </w:pPr>
  </w:style>
  <w:style w:type="paragraph" w:styleId="17">
    <w:name w:val="List Bullet 5"/>
    <w:basedOn w:val="0"/>
    <w:pPr>
      <w:numPr>
        <w:ilvl w:val="0"/>
        <w:numId w:val="1"/>
      </w:numPr>
    </w:pPr>
  </w:style>
  <w:style w:type="paragraph" w:customStyle="1" w:styleId="18">
    <w:name w:val="样式 10 磅"/>
    <w:pPr>
      <w:widowControl w:val="0"/>
      <w:jc w:val="both"/>
    </w:pPr>
    <w:rPr>
      <w:rFonts w:ascii="Calibri" w:eastAsia="宋体" w:cs="Arial" w:hAnsi="Calibri"/>
      <w:kern w:val="2"/>
      <w:sz w:val="21"/>
      <w:szCs w:val="22"/>
      <w:lang w:val="en-US" w:eastAsia="zh-CN" w:bidi="ar-SA"/>
    </w:rPr>
  </w:style>
  <w:style w:type="paragraph" w:customStyle="1" w:styleId="19">
    <w:name w:val="样式 1 10 磅"/>
    <w:pPr>
      <w:widowControl w:val="0"/>
      <w:jc w:val="both"/>
    </w:pPr>
    <w:rPr>
      <w:rFonts w:ascii="Calibri" w:eastAsia="宋体" w:cs="Arial" w:hAnsi="Calibri"/>
      <w:kern w:val="2"/>
      <w:sz w:val="21"/>
      <w:szCs w:val="22"/>
      <w:lang w:val="en-US" w:eastAsia="zh-CN" w:bidi="ar-SA"/>
    </w:rPr>
  </w:style>
  <w:style w:type="paragraph" w:customStyle="1" w:styleId="20">
    <w:name w:val="样式 2 10 磅"/>
    <w:pPr>
      <w:widowControl w:val="0"/>
      <w:jc w:val="both"/>
    </w:pPr>
    <w:rPr>
      <w:rFonts w:ascii="Calibri" w:eastAsia="宋体" w:cs="Arial" w:hAnsi="Calibri"/>
      <w:kern w:val="2"/>
      <w:sz w:val="21"/>
      <w:szCs w:val="22"/>
      <w:lang w:val="en-US" w:eastAsia="zh-CN" w:bidi="ar-SA"/>
    </w:rPr>
  </w:style>
  <w:style w:type="paragraph" w:customStyle="1" w:styleId="21">
    <w:name w:val="样式 3 10 磅"/>
    <w:pPr>
      <w:widowControl w:val="0"/>
      <w:jc w:val="both"/>
    </w:pPr>
    <w:rPr>
      <w:rFonts w:ascii="Calibri" w:eastAsia="宋体" w:cs="Arial" w:hAnsi="Calibri"/>
      <w:kern w:val="2"/>
      <w:sz w:val="21"/>
      <w:szCs w:val="22"/>
      <w:lang w:val="en-US" w:eastAsia="zh-CN" w:bidi="ar-SA"/>
    </w:rPr>
  </w:style>
  <w:style w:type="paragraph" w:customStyle="1" w:styleId="22">
    <w:name w:val="样式 4 10 磅"/>
    <w:pPr>
      <w:widowControl w:val="0"/>
      <w:jc w:val="both"/>
    </w:pPr>
    <w:rPr>
      <w:rFonts w:ascii="Calibri" w:eastAsia="宋体" w:cs="Arial" w:hAnsi="Calibri"/>
      <w:kern w:val="2"/>
      <w:sz w:val="21"/>
      <w:szCs w:val="22"/>
      <w:lang w:val="en-US" w:eastAsia="zh-CN" w:bidi="ar-SA"/>
    </w:rPr>
  </w:style>
  <w:style w:type="paragraph" w:customStyle="1" w:styleId="23">
    <w:name w:val="样式 5 10 磅"/>
    <w:pPr>
      <w:widowControl w:val="0"/>
      <w:jc w:val="both"/>
    </w:pPr>
    <w:rPr>
      <w:rFonts w:ascii="Calibri" w:eastAsia="宋体" w:cs="Arial" w:hAnsi="Calibri"/>
      <w:kern w:val="2"/>
      <w:sz w:val="21"/>
      <w:szCs w:val="22"/>
      <w:lang w:val="en-US" w:eastAsia="zh-CN" w:bidi="ar-SA"/>
    </w:rPr>
  </w:style>
  <w:style w:type="paragraph" w:customStyle="1" w:styleId="24">
    <w:name w:val="样式 6 10 磅"/>
    <w:pPr>
      <w:widowControl w:val="0"/>
      <w:jc w:val="both"/>
    </w:pPr>
    <w:rPr>
      <w:rFonts w:ascii="Calibri" w:eastAsia="宋体" w:cs="Arial" w:hAnsi="Calibri"/>
      <w:kern w:val="2"/>
      <w:sz w:val="21"/>
      <w:szCs w:val="22"/>
      <w:lang w:val="en-US" w:eastAsia="zh-CN" w:bidi="ar-SA"/>
    </w:rPr>
  </w:style>
  <w:style w:type="paragraph" w:customStyle="1" w:styleId="25">
    <w:name w:val="样式 7 10 磅"/>
    <w:pPr>
      <w:widowControl w:val="0"/>
      <w:jc w:val="both"/>
    </w:pPr>
    <w:rPr>
      <w:rFonts w:ascii="Calibri" w:eastAsia="宋体" w:cs="Arial" w:hAnsi="Calibri"/>
      <w:kern w:val="2"/>
      <w:sz w:val="21"/>
      <w:szCs w:val="22"/>
      <w:lang w:val="en-US" w:eastAsia="zh-CN" w:bidi="ar-SA"/>
    </w:rPr>
  </w:style>
  <w:style w:type="paragraph" w:customStyle="1" w:styleId="26">
    <w:name w:val="样式 3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7">
    <w:name w:val="样式 8 10 磅"/>
    <w:pPr>
      <w:widowControl w:val="0"/>
      <w:jc w:val="both"/>
    </w:pPr>
    <w:rPr>
      <w:rFonts w:ascii="Calibri" w:eastAsia="宋体" w:cs="Arial" w:hAnsi="Calibri"/>
      <w:kern w:val="2"/>
      <w:sz w:val="21"/>
      <w:szCs w:val="22"/>
      <w:lang w:val="en-US" w:eastAsia="zh-CN" w:bidi="ar-SA"/>
    </w:rPr>
  </w:style>
  <w:style w:type="paragraph" w:customStyle="1" w:styleId="28">
    <w:name w:val="样式 9 10 磅"/>
    <w:pPr>
      <w:widowControl w:val="0"/>
      <w:jc w:val="both"/>
    </w:pPr>
    <w:rPr>
      <w:rFonts w:ascii="Calibri" w:eastAsia="宋体" w:cs="Arial" w:hAnsi="Calibri"/>
      <w:kern w:val="2"/>
      <w:sz w:val="21"/>
      <w:szCs w:val="22"/>
      <w:lang w:val="en-US" w:eastAsia="zh-CN" w:bidi="ar-SA"/>
    </w:rPr>
  </w:style>
  <w:style w:type="paragraph" w:customStyle="1" w:styleId="29">
    <w:name w:val="样式 1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0">
    <w:name w:val="样式 10 10 磅"/>
    <w:pPr>
      <w:widowControl w:val="0"/>
      <w:jc w:val="both"/>
    </w:pPr>
    <w:rPr>
      <w:rFonts w:ascii="Calibri" w:eastAsia="宋体" w:cs="Arial" w:hAnsi="Calibri"/>
      <w:kern w:val="2"/>
      <w:sz w:val="21"/>
      <w:szCs w:val="22"/>
      <w:lang w:val="en-US" w:eastAsia="zh-CN" w:bidi="ar-SA"/>
    </w:rPr>
  </w:style>
  <w:style w:type="paragraph" w:customStyle="1" w:styleId="31">
    <w:name w:val="样式 48 10 磅"/>
    <w:pPr>
      <w:widowControl w:val="0"/>
      <w:jc w:val="both"/>
    </w:pPr>
    <w:rPr>
      <w:rFonts w:ascii="Calibri" w:eastAsia="宋体" w:cs="Arial" w:hAnsi="Calibri"/>
      <w:kern w:val="2"/>
      <w:sz w:val="21"/>
      <w:szCs w:val="22"/>
      <w:lang w:val="en-US" w:eastAsia="zh-CN" w:bidi="ar-SA"/>
    </w:rPr>
  </w:style>
  <w:style w:type="paragraph" w:customStyle="1" w:styleId="32">
    <w:name w:val="样式 12 10 磅"/>
    <w:pPr>
      <w:widowControl w:val="0"/>
      <w:jc w:val="both"/>
    </w:pPr>
    <w:rPr>
      <w:rFonts w:ascii="Calibri" w:eastAsia="宋体" w:cs="Arial" w:hAnsi="Calibri"/>
      <w:kern w:val="2"/>
      <w:sz w:val="21"/>
      <w:szCs w:val="22"/>
      <w:lang w:val="en-US" w:eastAsia="zh-CN" w:bidi="ar-SA"/>
    </w:rPr>
  </w:style>
  <w:style w:type="paragraph" w:customStyle="1" w:styleId="33">
    <w:name w:val="样式 13 10 磅"/>
    <w:pPr>
      <w:widowControl w:val="0"/>
      <w:jc w:val="both"/>
    </w:pPr>
    <w:rPr>
      <w:rFonts w:ascii="Calibri" w:eastAsia="宋体" w:cs="Arial" w:hAnsi="Calibri"/>
      <w:kern w:val="2"/>
      <w:sz w:val="21"/>
      <w:szCs w:val="22"/>
      <w:lang w:val="en-US" w:eastAsia="zh-CN" w:bidi="ar-SA"/>
    </w:rPr>
  </w:style>
  <w:style w:type="paragraph" w:customStyle="1" w:styleId="34">
    <w:name w:val="样式 14 10 磅"/>
    <w:pPr>
      <w:widowControl w:val="0"/>
      <w:jc w:val="both"/>
    </w:pPr>
    <w:rPr>
      <w:rFonts w:ascii="Calibri" w:eastAsia="宋体" w:cs="Arial" w:hAnsi="Calibri"/>
      <w:kern w:val="2"/>
      <w:sz w:val="21"/>
      <w:szCs w:val="22"/>
      <w:lang w:val="en-US" w:eastAsia="zh-CN" w:bidi="ar-SA"/>
    </w:rPr>
  </w:style>
  <w:style w:type="paragraph" w:customStyle="1" w:styleId="35">
    <w:name w:val="样式 15 10 磅"/>
    <w:pPr>
      <w:widowControl w:val="0"/>
      <w:jc w:val="both"/>
    </w:pPr>
    <w:rPr>
      <w:rFonts w:ascii="Calibri" w:eastAsia="宋体" w:cs="Arial" w:hAnsi="Calibri"/>
      <w:kern w:val="2"/>
      <w:sz w:val="21"/>
      <w:szCs w:val="22"/>
      <w:lang w:val="en-US" w:eastAsia="zh-CN" w:bidi="ar-SA"/>
    </w:rPr>
  </w:style>
  <w:style w:type="paragraph" w:customStyle="1" w:styleId="36">
    <w:name w:val="样式 16 10 磅"/>
    <w:pPr>
      <w:widowControl w:val="0"/>
      <w:jc w:val="both"/>
    </w:pPr>
    <w:rPr>
      <w:rFonts w:ascii="Calibri" w:eastAsia="宋体" w:cs="Arial" w:hAnsi="Calibri"/>
      <w:kern w:val="2"/>
      <w:sz w:val="21"/>
      <w:szCs w:val="22"/>
      <w:lang w:val="en-US" w:eastAsia="zh-CN" w:bidi="ar-SA"/>
    </w:rPr>
  </w:style>
  <w:style w:type="paragraph" w:customStyle="1" w:styleId="37">
    <w:name w:val="样式 17 10 磅"/>
    <w:pPr>
      <w:widowControl w:val="0"/>
      <w:jc w:val="both"/>
    </w:pPr>
    <w:rPr>
      <w:rFonts w:ascii="Calibri" w:eastAsia="宋体" w:cs="Arial" w:hAnsi="Calibri"/>
      <w:kern w:val="2"/>
      <w:sz w:val="21"/>
      <w:szCs w:val="22"/>
      <w:lang w:val="en-US" w:eastAsia="zh-CN" w:bidi="ar-SA"/>
    </w:rPr>
  </w:style>
  <w:style w:type="paragraph" w:customStyle="1" w:styleId="38">
    <w:name w:val="样式 18 10 磅"/>
    <w:pPr>
      <w:widowControl w:val="0"/>
      <w:jc w:val="both"/>
    </w:pPr>
    <w:rPr>
      <w:rFonts w:ascii="Calibri" w:eastAsia="宋体" w:cs="Arial" w:hAnsi="Calibri"/>
      <w:kern w:val="2"/>
      <w:sz w:val="21"/>
      <w:szCs w:val="22"/>
      <w:lang w:val="en-US" w:eastAsia="zh-CN" w:bidi="ar-SA"/>
    </w:rPr>
  </w:style>
  <w:style w:type="paragraph" w:customStyle="1" w:styleId="39">
    <w:name w:val="样式 19 10 磅"/>
    <w:pPr>
      <w:widowControl w:val="0"/>
      <w:jc w:val="both"/>
    </w:pPr>
    <w:rPr>
      <w:rFonts w:ascii="Calibri" w:eastAsia="宋体" w:cs="Arial" w:hAnsi="Calibri"/>
      <w:kern w:val="2"/>
      <w:sz w:val="21"/>
      <w:szCs w:val="22"/>
      <w:lang w:val="en-US" w:eastAsia="zh-CN" w:bidi="ar-SA"/>
    </w:rPr>
  </w:style>
  <w:style w:type="paragraph" w:customStyle="1" w:styleId="40">
    <w:name w:val="样式 20 10 磅"/>
    <w:pPr>
      <w:widowControl w:val="0"/>
      <w:jc w:val="both"/>
    </w:pPr>
    <w:rPr>
      <w:rFonts w:ascii="Calibri" w:eastAsia="宋体" w:cs="Arial" w:hAnsi="Calibri"/>
      <w:kern w:val="2"/>
      <w:sz w:val="21"/>
      <w:szCs w:val="22"/>
      <w:lang w:val="en-US" w:eastAsia="zh-CN" w:bidi="ar-SA"/>
    </w:rPr>
  </w:style>
  <w:style w:type="paragraph" w:customStyle="1" w:styleId="41">
    <w:name w:val="样式 21 10 磅"/>
    <w:pPr>
      <w:widowControl w:val="0"/>
      <w:jc w:val="both"/>
    </w:pPr>
    <w:rPr>
      <w:rFonts w:ascii="Calibri" w:eastAsia="宋体" w:cs="Arial" w:hAnsi="Calibri"/>
      <w:kern w:val="2"/>
      <w:sz w:val="21"/>
      <w:szCs w:val="22"/>
      <w:lang w:val="en-US" w:eastAsia="zh-CN" w:bidi="ar-SA"/>
    </w:rPr>
  </w:style>
  <w:style w:type="paragraph" w:customStyle="1" w:styleId="42">
    <w:name w:val="样式 22 10 磅"/>
    <w:pPr>
      <w:widowControl w:val="0"/>
      <w:jc w:val="both"/>
    </w:pPr>
    <w:rPr>
      <w:rFonts w:ascii="Calibri" w:eastAsia="宋体" w:cs="Arial" w:hAnsi="Calibri"/>
      <w:kern w:val="2"/>
      <w:sz w:val="21"/>
      <w:szCs w:val="22"/>
      <w:lang w:val="en-US" w:eastAsia="zh-CN" w:bidi="ar-SA"/>
    </w:rPr>
  </w:style>
  <w:style w:type="paragraph" w:customStyle="1" w:styleId="43">
    <w:name w:val="样式 23 10 磅"/>
    <w:pPr>
      <w:widowControl w:val="0"/>
      <w:jc w:val="both"/>
    </w:pPr>
    <w:rPr>
      <w:rFonts w:ascii="Calibri" w:eastAsia="宋体" w:cs="Arial" w:hAnsi="Calibri"/>
      <w:kern w:val="2"/>
      <w:sz w:val="21"/>
      <w:szCs w:val="22"/>
      <w:lang w:val="en-US" w:eastAsia="zh-CN" w:bidi="ar-SA"/>
    </w:rPr>
  </w:style>
  <w:style w:type="paragraph" w:customStyle="1" w:styleId="44">
    <w:name w:val="样式 小四"/>
    <w:pPr>
      <w:widowControl w:val="0"/>
    </w:pPr>
    <w:rPr>
      <w:rFonts w:ascii="宋体" w:eastAsia="宋体" w:cs="Times New Roman"/>
      <w:kern w:val="2"/>
      <w:sz w:val="24"/>
      <w:szCs w:val="21"/>
      <w:lang w:val="en-US" w:eastAsia="zh-CN" w:bidi="ar-SA"/>
    </w:rPr>
  </w:style>
  <w:style w:type="paragraph" w:customStyle="1" w:styleId="45">
    <w:name w:val="样式 24 10 磅"/>
    <w:pPr>
      <w:widowControl w:val="0"/>
      <w:jc w:val="both"/>
    </w:pPr>
    <w:rPr>
      <w:rFonts w:ascii="Calibri" w:eastAsia="宋体" w:cs="Arial" w:hAnsi="Calibri"/>
      <w:kern w:val="2"/>
      <w:sz w:val="21"/>
      <w:szCs w:val="22"/>
      <w:lang w:val="en-US" w:eastAsia="zh-CN" w:bidi="ar-SA"/>
    </w:rPr>
  </w:style>
  <w:style w:type="paragraph" w:customStyle="1" w:styleId="46">
    <w:name w:val="样式 25 10 磅"/>
    <w:pPr>
      <w:widowControl w:val="0"/>
      <w:jc w:val="both"/>
    </w:pPr>
    <w:rPr>
      <w:rFonts w:ascii="Calibri" w:eastAsia="宋体" w:cs="Arial" w:hAnsi="Calibri"/>
      <w:kern w:val="2"/>
      <w:sz w:val="21"/>
      <w:szCs w:val="22"/>
      <w:lang w:val="en-US" w:eastAsia="zh-CN" w:bidi="ar-SA"/>
    </w:rPr>
  </w:style>
  <w:style w:type="paragraph" w:customStyle="1" w:styleId="47">
    <w:name w:val="样式 26 10 磅"/>
    <w:pPr>
      <w:widowControl w:val="0"/>
      <w:jc w:val="both"/>
    </w:pPr>
    <w:rPr>
      <w:rFonts w:ascii="Calibri" w:eastAsia="宋体" w:cs="Arial" w:hAnsi="Calibri"/>
      <w:kern w:val="2"/>
      <w:sz w:val="21"/>
      <w:szCs w:val="22"/>
      <w:lang w:val="en-US" w:eastAsia="zh-CN" w:bidi="ar-SA"/>
    </w:rPr>
  </w:style>
  <w:style w:type="paragraph" w:styleId="48">
    <w:name w:val="header"/>
    <w:basedOn w:val="0"/>
    <w:pPr>
      <w:pBdr>
        <w:bottom w:val="single" w:sz="6" w:space="1" w:color="auto"/>
      </w:pBdr>
      <w:tabs>
        <w:tab w:val="center" w:pos="4153"/>
        <w:tab w:val="right" w:pos="8307"/>
      </w:tabs>
      <w:snapToGrid w:val="0"/>
      <w:jc w:val="center"/>
    </w:pPr>
    <w:rPr>
      <w:sz w:val="18"/>
      <w:szCs w:val="18"/>
    </w:rPr>
  </w:style>
  <w:style w:type="paragraph" w:styleId="49">
    <w:name w:val="footer"/>
    <w:basedOn w:val="0"/>
    <w:pPr>
      <w:tabs>
        <w:tab w:val="center" w:pos="4153"/>
        <w:tab w:val="right" w:pos="8307"/>
      </w:tabs>
      <w:snapToGrid w:val="0"/>
      <w:jc w:val="left"/>
    </w:pPr>
    <w:rPr>
      <w:sz w:val="18"/>
      <w:szCs w:val="18"/>
    </w:rPr>
  </w:style>
  <w:style w:type="character" w:styleId="50">
    <w:name w:val="page number"/>
    <w:basedOn w:val="10"/>
  </w:style>
  <w:style w:type="paragraph" w:customStyle="1" w:styleId="51">
    <w:name w:val="样式 27 10 磅"/>
    <w:pPr>
      <w:widowControl w:val="0"/>
      <w:jc w:val="both"/>
    </w:pPr>
    <w:rPr>
      <w:rFonts w:ascii="Calibri" w:eastAsia="宋体" w:cs="Arial" w:hAnsi="Calibri"/>
      <w:kern w:val="2"/>
      <w:sz w:val="21"/>
      <w:szCs w:val="22"/>
      <w:lang w:val="en-US" w:eastAsia="zh-CN" w:bidi="ar-SA"/>
    </w:rPr>
  </w:style>
  <w:style w:type="paragraph" w:customStyle="1" w:styleId="52">
    <w:name w:val="样式 28 10 磅"/>
    <w:pPr>
      <w:widowControl w:val="0"/>
      <w:jc w:val="both"/>
    </w:pPr>
    <w:rPr>
      <w:rFonts w:ascii="Calibri" w:eastAsia="宋体" w:cs="Arial" w:hAnsi="Calibri"/>
      <w:kern w:val="2"/>
      <w:sz w:val="21"/>
      <w:szCs w:val="22"/>
      <w:lang w:val="en-US" w:eastAsia="zh-CN" w:bidi="ar-SA"/>
    </w:rPr>
  </w:style>
  <w:style w:type="paragraph" w:customStyle="1" w:styleId="53">
    <w:name w:val="样式 29 10 磅"/>
    <w:pPr>
      <w:widowControl w:val="0"/>
      <w:jc w:val="both"/>
    </w:pPr>
    <w:rPr>
      <w:rFonts w:ascii="Calibri" w:eastAsia="宋体" w:cs="Arial" w:hAnsi="Calibri"/>
      <w:kern w:val="2"/>
      <w:sz w:val="21"/>
      <w:szCs w:val="22"/>
      <w:lang w:val="en-US" w:eastAsia="zh-CN" w:bidi="ar-SA"/>
    </w:rPr>
  </w:style>
  <w:style w:type="paragraph" w:customStyle="1" w:styleId="54">
    <w:name w:val="样式 30 10 磅"/>
    <w:pPr>
      <w:widowControl w:val="0"/>
      <w:jc w:val="both"/>
    </w:pPr>
    <w:rPr>
      <w:rFonts w:ascii="Calibri" w:eastAsia="宋体" w:cs="Arial" w:hAnsi="Calibri"/>
      <w:kern w:val="2"/>
      <w:sz w:val="21"/>
      <w:szCs w:val="22"/>
      <w:lang w:val="en-US" w:eastAsia="zh-CN" w:bidi="ar-SA"/>
    </w:rPr>
  </w:style>
  <w:style w:type="paragraph" w:customStyle="1" w:styleId="55">
    <w:name w:val="样式 31 10 磅"/>
    <w:pPr>
      <w:widowControl w:val="0"/>
      <w:jc w:val="both"/>
    </w:pPr>
    <w:rPr>
      <w:rFonts w:ascii="Calibri" w:eastAsia="宋体" w:cs="Arial" w:hAnsi="Calibri"/>
      <w:kern w:val="2"/>
      <w:sz w:val="21"/>
      <w:szCs w:val="22"/>
      <w:lang w:val="en-US" w:eastAsia="zh-CN" w:bidi="ar-SA"/>
    </w:rPr>
  </w:style>
  <w:style w:type="paragraph" w:customStyle="1" w:styleId="56">
    <w:name w:val="样式 32 10 磅"/>
    <w:pPr>
      <w:widowControl w:val="0"/>
      <w:jc w:val="both"/>
    </w:pPr>
    <w:rPr>
      <w:rFonts w:ascii="Calibri" w:eastAsia="宋体" w:cs="Arial" w:hAnsi="Calibri"/>
      <w:kern w:val="2"/>
      <w:sz w:val="21"/>
      <w:szCs w:val="22"/>
      <w:lang w:val="en-US" w:eastAsia="zh-CN" w:bidi="ar-SA"/>
    </w:rPr>
  </w:style>
  <w:style w:type="paragraph" w:customStyle="1" w:styleId="57">
    <w:name w:val="样式 34 10 磅"/>
    <w:pPr>
      <w:widowControl w:val="0"/>
      <w:jc w:val="both"/>
    </w:pPr>
    <w:rPr>
      <w:rFonts w:ascii="Calibri" w:eastAsia="宋体" w:cs="Arial" w:hAnsi="Calibri"/>
      <w:kern w:val="2"/>
      <w:sz w:val="21"/>
      <w:szCs w:val="22"/>
      <w:lang w:val="en-US" w:eastAsia="zh-CN" w:bidi="ar-SA"/>
    </w:rPr>
  </w:style>
  <w:style w:type="paragraph" w:customStyle="1" w:styleId="58">
    <w:name w:val="样式 35 10 磅"/>
    <w:pPr>
      <w:widowControl w:val="0"/>
      <w:jc w:val="both"/>
    </w:pPr>
    <w:rPr>
      <w:rFonts w:ascii="Calibri" w:eastAsia="宋体" w:cs="Arial" w:hAnsi="Calibri"/>
      <w:kern w:val="2"/>
      <w:sz w:val="21"/>
      <w:szCs w:val="22"/>
      <w:lang w:val="en-US" w:eastAsia="zh-CN" w:bidi="ar-SA"/>
    </w:rPr>
  </w:style>
  <w:style w:type="paragraph" w:customStyle="1" w:styleId="59">
    <w:name w:val="样式 36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1575</TotalTime>
  <Application>Yozo_Office</Application>
  <Pages>4</Pages>
  <Words>1727</Words>
  <Characters>1734</Characters>
  <Lines>78</Lines>
  <Paragraphs>17</Paragraphs>
  <CharactersWithSpaces>1734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nbc</dc:creator>
  <cp:lastModifiedBy>刘欣棉（外部)</cp:lastModifiedBy>
  <cp:revision>1</cp:revision>
  <dcterms:created xsi:type="dcterms:W3CDTF">2023-08-17T02:08:41Z</dcterms:created>
  <dcterms:modified xsi:type="dcterms:W3CDTF">2026-04-02T09:03:41Z</dcterms:modified>
</cp:coreProperties>
</file>