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776A6">
      <w:pPr>
        <w:pageBreakBefore w:val="0"/>
        <w:widowControl w:val="0"/>
        <w:numPr>
          <w:ilvl w:val="0"/>
          <w:numId w:val="0"/>
        </w:numPr>
        <w:kinsoku/>
        <w:overflowPunct/>
        <w:topLinePunct w:val="0"/>
        <w:autoSpaceDE/>
        <w:autoSpaceDN/>
        <w:bidi w:val="0"/>
        <w:adjustRightInd/>
        <w:snapToGrid/>
        <w:spacing w:after="0" w:line="600" w:lineRule="exact"/>
        <w:ind w:right="-105" w:rightChars="-50"/>
        <w:rPr>
          <w:rFonts w:hint="eastAsia" w:ascii="黑体" w:hAnsi="黑体"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1</w:t>
      </w:r>
    </w:p>
    <w:p w14:paraId="0D8AA4F3">
      <w:pPr>
        <w:spacing w:line="560" w:lineRule="exact"/>
        <w:jc w:val="center"/>
        <w:outlineLvl w:val="0"/>
        <w:rPr>
          <w:rFonts w:hint="eastAsia" w:ascii="华文中宋" w:hAnsi="华文中宋" w:eastAsia="华文中宋" w:cs="Arial Unicode MS"/>
          <w:bCs/>
          <w:sz w:val="44"/>
          <w:szCs w:val="44"/>
          <w:lang w:eastAsia="zh-CN"/>
        </w:rPr>
      </w:pPr>
      <w:r>
        <w:rPr>
          <w:rFonts w:hint="eastAsia" w:ascii="华文中宋" w:hAnsi="华文中宋" w:eastAsia="华文中宋" w:cs="Arial Unicode MS"/>
          <w:bCs/>
          <w:sz w:val="44"/>
          <w:szCs w:val="44"/>
        </w:rPr>
        <w:t>202</w:t>
      </w:r>
      <w:r>
        <w:rPr>
          <w:rFonts w:hint="eastAsia" w:ascii="华文中宋" w:hAnsi="华文中宋" w:eastAsia="华文中宋" w:cs="Arial Unicode MS"/>
          <w:bCs/>
          <w:sz w:val="44"/>
          <w:szCs w:val="44"/>
          <w:lang w:val="en-US" w:eastAsia="zh-CN"/>
        </w:rPr>
        <w:t>6</w:t>
      </w:r>
      <w:r>
        <w:rPr>
          <w:rFonts w:hint="eastAsia" w:ascii="华文中宋" w:hAnsi="华文中宋" w:eastAsia="华文中宋" w:cs="Arial Unicode MS"/>
          <w:bCs/>
          <w:sz w:val="44"/>
          <w:szCs w:val="44"/>
        </w:rPr>
        <w:t>年度</w:t>
      </w:r>
      <w:bookmarkStart w:id="0" w:name="_Hlk200304457"/>
      <w:bookmarkStart w:id="1" w:name="OLE_LINK1"/>
      <w:r>
        <w:rPr>
          <w:rFonts w:hint="eastAsia" w:ascii="华文中宋" w:hAnsi="华文中宋" w:eastAsia="华文中宋" w:cs="Arial Unicode MS"/>
          <w:bCs/>
          <w:sz w:val="44"/>
          <w:szCs w:val="44"/>
        </w:rPr>
        <w:t>资产评估</w:t>
      </w:r>
      <w:bookmarkEnd w:id="0"/>
      <w:r>
        <w:rPr>
          <w:rFonts w:hint="eastAsia" w:ascii="华文中宋" w:hAnsi="华文中宋" w:eastAsia="华文中宋" w:cs="Arial Unicode MS"/>
          <w:bCs/>
          <w:sz w:val="44"/>
          <w:szCs w:val="44"/>
          <w:lang w:eastAsia="zh-CN"/>
        </w:rPr>
        <w:t>行业执业</w:t>
      </w:r>
    </w:p>
    <w:p w14:paraId="4BF6F0D1">
      <w:pPr>
        <w:spacing w:line="560" w:lineRule="exact"/>
        <w:jc w:val="center"/>
        <w:outlineLvl w:val="0"/>
        <w:rPr>
          <w:rFonts w:hint="eastAsia" w:ascii="华文中宋" w:hAnsi="华文中宋" w:eastAsia="华文中宋" w:cs="Arial Unicode MS"/>
          <w:bCs/>
          <w:sz w:val="44"/>
          <w:szCs w:val="44"/>
        </w:rPr>
      </w:pPr>
      <w:r>
        <w:rPr>
          <w:rFonts w:hint="eastAsia" w:ascii="华文中宋" w:hAnsi="华文中宋" w:eastAsia="华文中宋" w:cs="Arial Unicode MS"/>
          <w:bCs/>
          <w:sz w:val="44"/>
          <w:szCs w:val="44"/>
          <w:lang w:eastAsia="zh-CN"/>
        </w:rPr>
        <w:t>质量联合</w:t>
      </w:r>
      <w:r>
        <w:rPr>
          <w:rFonts w:hint="eastAsia" w:ascii="华文中宋" w:hAnsi="华文中宋" w:eastAsia="华文中宋" w:cs="Arial Unicode MS"/>
          <w:bCs/>
          <w:sz w:val="44"/>
          <w:szCs w:val="44"/>
        </w:rPr>
        <w:t>检查工作方案</w:t>
      </w:r>
    </w:p>
    <w:bookmarkEnd w:id="1"/>
    <w:p w14:paraId="328C7FC1">
      <w:pPr>
        <w:widowControl/>
        <w:spacing w:line="560" w:lineRule="exact"/>
        <w:ind w:firstLine="629"/>
        <w:jc w:val="left"/>
        <w:rPr>
          <w:rFonts w:hint="eastAsia" w:ascii="仿宋_GB2312" w:hAnsi="仿宋_GB2312" w:eastAsia="仿宋_GB2312" w:cs="仿宋_GB2312"/>
          <w:color w:val="231F20"/>
          <w:kern w:val="0"/>
          <w:sz w:val="31"/>
          <w:szCs w:val="31"/>
          <w:lang w:bidi="ar"/>
        </w:rPr>
      </w:pPr>
    </w:p>
    <w:p w14:paraId="1A3C5B15">
      <w:pPr>
        <w:spacing w:line="560" w:lineRule="exact"/>
        <w:ind w:firstLine="640" w:firstLineChars="200"/>
        <w:rPr>
          <w:rFonts w:hint="eastAsia" w:ascii="仿宋_GB2312" w:hAnsi="仿宋" w:eastAsia="仿宋_GB2312" w:cs="宋体"/>
          <w:color w:val="000000"/>
          <w:kern w:val="0"/>
          <w:sz w:val="32"/>
          <w:szCs w:val="32"/>
        </w:rPr>
      </w:pPr>
      <w:r>
        <w:rPr>
          <w:rFonts w:hint="eastAsia" w:ascii="仿宋" w:hAnsi="仿宋" w:eastAsia="仿宋" w:cs="仿宋"/>
          <w:kern w:val="0"/>
          <w:sz w:val="32"/>
          <w:szCs w:val="32"/>
          <w:lang w:val="en-US" w:eastAsia="zh-CN" w:bidi="ar"/>
        </w:rPr>
        <w:t>为深入</w:t>
      </w:r>
      <w:r>
        <w:rPr>
          <w:rFonts w:hint="eastAsia" w:ascii="仿宋" w:hAnsi="仿宋" w:eastAsia="仿宋" w:cs="仿宋"/>
          <w:kern w:val="0"/>
          <w:sz w:val="32"/>
          <w:szCs w:val="32"/>
          <w:highlight w:val="none"/>
          <w:lang w:val="en-US" w:eastAsia="zh-CN" w:bidi="ar"/>
        </w:rPr>
        <w:t>贯彻《财政部关于组织地方财政部门开展2026年度会计和评估监督检查工作的通知》(财监〔2026〕6号）有关要求，进一步促进资产评估机构持续提升执业质量和服务水平，有效发挥执业监督作用，依据《加强资产评估行业联合监管若干措施》（财办监〔2021〕7号）和《山西省财政厅关于开展2026年度会计师事务所和资产评估机构执业质量检查工作的通知》（晋财会〔2026〕13号）等有关规</w:t>
      </w:r>
      <w:r>
        <w:rPr>
          <w:rFonts w:hint="eastAsia" w:ascii="仿宋" w:hAnsi="仿宋" w:eastAsia="仿宋" w:cs="仿宋"/>
          <w:sz w:val="32"/>
          <w:szCs w:val="32"/>
          <w:highlight w:val="none"/>
        </w:rPr>
        <w:t>定，扎实做</w:t>
      </w:r>
      <w:r>
        <w:rPr>
          <w:rFonts w:hint="eastAsia" w:ascii="仿宋" w:hAnsi="仿宋" w:eastAsia="仿宋" w:cs="仿宋"/>
          <w:sz w:val="32"/>
          <w:szCs w:val="32"/>
        </w:rPr>
        <w:t>好202</w:t>
      </w:r>
      <w:r>
        <w:rPr>
          <w:rFonts w:hint="eastAsia" w:ascii="仿宋" w:hAnsi="仿宋" w:eastAsia="仿宋" w:cs="仿宋"/>
          <w:sz w:val="32"/>
          <w:szCs w:val="32"/>
          <w:lang w:val="en-US" w:eastAsia="zh-CN"/>
        </w:rPr>
        <w:t>6</w:t>
      </w:r>
      <w:r>
        <w:rPr>
          <w:rFonts w:hint="eastAsia" w:ascii="仿宋" w:hAnsi="仿宋" w:eastAsia="仿宋" w:cs="仿宋"/>
          <w:sz w:val="32"/>
          <w:szCs w:val="32"/>
        </w:rPr>
        <w:t>年度资产评估机构执业质量监督检查工作，制定本方案。</w:t>
      </w:r>
    </w:p>
    <w:p w14:paraId="1736E704">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 xml:space="preserve">一、检查依据 </w:t>
      </w:r>
    </w:p>
    <w:p w14:paraId="33E9B96C">
      <w:pPr>
        <w:spacing w:line="600" w:lineRule="exact"/>
        <w:ind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rPr>
        <w:t>1.《中华人民共和国资产评估法》《资产评估行业财政监督管理办法》（财政部令第97号）；</w:t>
      </w:r>
    </w:p>
    <w:p w14:paraId="327A322B">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2.《加强资产评估行业联合监管若干措施》（财办监〔2021〕7号）、</w:t>
      </w:r>
      <w:r>
        <w:rPr>
          <w:rFonts w:hint="eastAsia" w:ascii="仿宋" w:hAnsi="仿宋" w:eastAsia="仿宋" w:cs="仿宋"/>
          <w:sz w:val="32"/>
          <w:szCs w:val="32"/>
          <w:highlight w:val="none"/>
        </w:rPr>
        <w:t>《财政部关于组织地方财政部门开展202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年度会计和评估监督检查工作的通知》(财监〔202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号）、《</w:t>
      </w:r>
      <w:bookmarkStart w:id="2" w:name="OLE_LINK2"/>
      <w:r>
        <w:rPr>
          <w:rFonts w:hint="eastAsia" w:ascii="仿宋" w:hAnsi="仿宋" w:eastAsia="仿宋" w:cs="仿宋"/>
          <w:sz w:val="32"/>
          <w:szCs w:val="32"/>
          <w:highlight w:val="none"/>
        </w:rPr>
        <w:t>资</w:t>
      </w:r>
      <w:r>
        <w:rPr>
          <w:rFonts w:hint="eastAsia" w:ascii="仿宋" w:hAnsi="仿宋" w:eastAsia="仿宋" w:cs="仿宋"/>
          <w:sz w:val="32"/>
          <w:szCs w:val="32"/>
        </w:rPr>
        <w:t>产评估执业质量自律检查办法</w:t>
      </w:r>
      <w:bookmarkEnd w:id="2"/>
      <w:r>
        <w:rPr>
          <w:rFonts w:hint="eastAsia" w:ascii="仿宋" w:hAnsi="仿宋" w:eastAsia="仿宋" w:cs="仿宋"/>
          <w:sz w:val="32"/>
          <w:szCs w:val="32"/>
        </w:rPr>
        <w:t>》（中评协〔2023〕20号）</w:t>
      </w:r>
      <w:r>
        <w:rPr>
          <w:rFonts w:hint="eastAsia" w:ascii="仿宋" w:hAnsi="仿宋" w:eastAsia="仿宋" w:cs="仿宋"/>
          <w:sz w:val="32"/>
          <w:szCs w:val="32"/>
          <w:lang w:eastAsia="zh-CN"/>
        </w:rPr>
        <w:t>、</w:t>
      </w:r>
      <w:r>
        <w:rPr>
          <w:rFonts w:hint="eastAsia" w:ascii="仿宋" w:hAnsi="仿宋" w:eastAsia="仿宋" w:cs="仿宋"/>
          <w:kern w:val="0"/>
          <w:sz w:val="32"/>
          <w:szCs w:val="32"/>
          <w:highlight w:val="none"/>
          <w:lang w:val="en-US" w:eastAsia="zh-CN" w:bidi="ar"/>
        </w:rPr>
        <w:t>《山西省财政厅关于开展2026年度会计师事务所和资产评估机构执业质量检查工作的通知》（晋财会〔2026〕13号）</w:t>
      </w:r>
      <w:r>
        <w:rPr>
          <w:rFonts w:hint="eastAsia" w:ascii="仿宋" w:hAnsi="仿宋" w:eastAsia="仿宋" w:cs="仿宋"/>
          <w:sz w:val="32"/>
          <w:szCs w:val="32"/>
          <w:lang w:eastAsia="zh-CN"/>
        </w:rPr>
        <w:t>；</w:t>
      </w:r>
    </w:p>
    <w:p w14:paraId="2F0B9930">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3.其他相关准则、制度、文件。</w:t>
      </w:r>
    </w:p>
    <w:p w14:paraId="2BF6269F">
      <w:pPr>
        <w:spacing w:line="560" w:lineRule="exact"/>
        <w:ind w:firstLine="640" w:firstLineChars="200"/>
        <w:outlineLvl w:val="0"/>
        <w:rPr>
          <w:rFonts w:hint="eastAsia" w:ascii="黑体" w:hAnsi="黑体" w:eastAsia="黑体" w:cs="黑体"/>
          <w:sz w:val="32"/>
          <w:szCs w:val="32"/>
        </w:rPr>
        <w:sectPr>
          <w:pgSz w:w="11906" w:h="16838"/>
          <w:pgMar w:top="2098" w:right="1474" w:bottom="1984" w:left="1587" w:header="851" w:footer="1417" w:gutter="0"/>
          <w:pgNumType w:fmt="decimal" w:start="1"/>
          <w:cols w:space="0" w:num="1"/>
          <w:rtlGutter w:val="0"/>
          <w:docGrid w:type="lines" w:linePitch="312" w:charSpace="0"/>
        </w:sectPr>
      </w:pPr>
    </w:p>
    <w:p w14:paraId="5E1281AA">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 xml:space="preserve">二、检查对象 </w:t>
      </w:r>
    </w:p>
    <w:p w14:paraId="699D3C50">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按照“五年查一轮”的监督检查工作安排，联合</w:t>
      </w:r>
      <w:r>
        <w:rPr>
          <w:rFonts w:hint="eastAsia" w:ascii="仿宋" w:hAnsi="仿宋" w:eastAsia="仿宋" w:cs="仿宋"/>
          <w:sz w:val="32"/>
          <w:szCs w:val="32"/>
          <w:highlight w:val="none"/>
          <w:lang w:val="en-US" w:eastAsia="zh-CN"/>
        </w:rPr>
        <w:t>山西省财政厅</w:t>
      </w:r>
      <w:r>
        <w:rPr>
          <w:rFonts w:hint="eastAsia" w:ascii="仿宋" w:hAnsi="仿宋" w:eastAsia="仿宋" w:cs="仿宋"/>
          <w:sz w:val="32"/>
          <w:szCs w:val="32"/>
        </w:rPr>
        <w:t>，采取随机抽查、重点检查等方式，按照检查覆盖面不低于</w:t>
      </w:r>
      <w:r>
        <w:rPr>
          <w:rFonts w:hint="default" w:ascii="仿宋" w:hAnsi="仿宋" w:eastAsia="仿宋" w:cs="仿宋"/>
          <w:sz w:val="32"/>
          <w:szCs w:val="32"/>
          <w:lang w:val="en"/>
        </w:rPr>
        <w:t>20</w:t>
      </w:r>
      <w:r>
        <w:rPr>
          <w:rFonts w:hint="eastAsia" w:ascii="仿宋" w:hAnsi="仿宋" w:eastAsia="仿宋" w:cs="仿宋"/>
          <w:sz w:val="32"/>
          <w:szCs w:val="32"/>
        </w:rPr>
        <w:t>%的要求，确定</w:t>
      </w:r>
      <w:r>
        <w:rPr>
          <w:rFonts w:hint="eastAsia" w:ascii="仿宋" w:hAnsi="仿宋" w:eastAsia="仿宋" w:cs="仿宋"/>
          <w:sz w:val="32"/>
          <w:szCs w:val="32"/>
          <w:highlight w:val="none"/>
          <w:lang w:val="en-US" w:eastAsia="zh-CN"/>
        </w:rPr>
        <w:t>43</w:t>
      </w:r>
      <w:r>
        <w:rPr>
          <w:rFonts w:hint="eastAsia" w:ascii="仿宋" w:hAnsi="仿宋" w:eastAsia="仿宋" w:cs="仿宋"/>
          <w:sz w:val="32"/>
          <w:szCs w:val="32"/>
        </w:rPr>
        <w:t>家资产</w:t>
      </w:r>
      <w:r>
        <w:rPr>
          <w:rFonts w:hint="eastAsia" w:ascii="仿宋" w:hAnsi="仿宋" w:eastAsia="仿宋" w:cs="仿宋"/>
          <w:sz w:val="32"/>
          <w:szCs w:val="32"/>
          <w:highlight w:val="none"/>
        </w:rPr>
        <w:t>评估机构作为检查对象（名单附后）。其中重点检查范围包含：</w:t>
      </w:r>
      <w:r>
        <w:rPr>
          <w:rFonts w:hint="default" w:ascii="仿宋" w:hAnsi="仿宋" w:eastAsia="仿宋" w:cs="仿宋"/>
          <w:sz w:val="32"/>
          <w:szCs w:val="32"/>
          <w:highlight w:val="none"/>
          <w:lang w:val="en" w:eastAsia="zh-CN"/>
        </w:rPr>
        <w:t>2023</w:t>
      </w:r>
      <w:r>
        <w:rPr>
          <w:rFonts w:hint="eastAsia" w:ascii="仿宋" w:hAnsi="仿宋" w:eastAsia="仿宋" w:cs="仿宋"/>
          <w:sz w:val="32"/>
          <w:szCs w:val="32"/>
          <w:highlight w:val="none"/>
          <w:lang w:val="en" w:eastAsia="zh-CN"/>
        </w:rPr>
        <w:t>年至</w:t>
      </w:r>
      <w:r>
        <w:rPr>
          <w:rFonts w:hint="eastAsia" w:ascii="仿宋" w:hAnsi="仿宋" w:eastAsia="仿宋" w:cs="仿宋"/>
          <w:sz w:val="32"/>
          <w:szCs w:val="32"/>
          <w:highlight w:val="none"/>
          <w:lang w:val="en-US" w:eastAsia="zh-CN"/>
        </w:rPr>
        <w:t>2024年新备案、</w:t>
      </w:r>
      <w:r>
        <w:rPr>
          <w:rFonts w:hint="eastAsia" w:ascii="仿宋" w:hAnsi="仿宋" w:eastAsia="仿宋" w:cs="仿宋"/>
          <w:sz w:val="32"/>
          <w:szCs w:val="32"/>
          <w:highlight w:val="none"/>
        </w:rPr>
        <w:t>日常监管中发现投诉举报案件数量多、从业人员数量与出具报告数量不匹配、风险项目占比高、独立性较差的资产评估机构</w:t>
      </w:r>
      <w:bookmarkStart w:id="3" w:name="OLE_LINK3"/>
      <w:r>
        <w:rPr>
          <w:rFonts w:hint="eastAsia" w:ascii="仿宋" w:hAnsi="仿宋" w:eastAsia="仿宋" w:cs="仿宋"/>
          <w:sz w:val="32"/>
          <w:szCs w:val="32"/>
          <w:highlight w:val="none"/>
        </w:rPr>
        <w:t>。</w:t>
      </w:r>
    </w:p>
    <w:bookmarkEnd w:id="3"/>
    <w:p w14:paraId="0F652A91">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 xml:space="preserve">三、组织机构 </w:t>
      </w:r>
    </w:p>
    <w:p w14:paraId="70C6FB0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为保障执业质量监督检查工作的权威性、专业性与协同性，切实优化监管资源配置，提升监管效能，</w:t>
      </w:r>
      <w:r>
        <w:rPr>
          <w:rFonts w:hint="eastAsia" w:ascii="仿宋" w:hAnsi="仿宋" w:eastAsia="仿宋" w:cs="仿宋"/>
          <w:sz w:val="32"/>
          <w:szCs w:val="32"/>
          <w:highlight w:val="none"/>
        </w:rPr>
        <w:t>省财政厅联合省评协</w:t>
      </w:r>
      <w:r>
        <w:rPr>
          <w:rFonts w:hint="eastAsia" w:ascii="仿宋" w:hAnsi="仿宋" w:eastAsia="仿宋" w:cs="仿宋"/>
          <w:sz w:val="32"/>
          <w:szCs w:val="32"/>
        </w:rPr>
        <w:t>成立检查领导组，负责统筹安排、组织和指导整体检查工作，下设计划组、检查组、督导组等，负责制定检查通知和方案，组织检查培训、集中检查、编制检查工作底稿，征询收集被检查资产评估机构意见，形成检查报告等工作。</w:t>
      </w:r>
    </w:p>
    <w:p w14:paraId="6ED0D2C0">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 xml:space="preserve">四、检查内容 </w:t>
      </w:r>
    </w:p>
    <w:p w14:paraId="458F5429">
      <w:pPr>
        <w:spacing w:line="560" w:lineRule="exact"/>
        <w:ind w:firstLine="640" w:firstLineChars="200"/>
        <w:rPr>
          <w:rFonts w:hint="eastAsia" w:ascii="仿宋" w:hAnsi="仿宋" w:eastAsia="仿宋" w:cs="仿宋"/>
          <w:sz w:val="32"/>
          <w:szCs w:val="32"/>
        </w:rPr>
      </w:pPr>
      <w:r>
        <w:rPr>
          <w:rFonts w:ascii="楷体_GB2312" w:hAnsi="楷体_GB2312" w:eastAsia="楷体_GB2312" w:cs="楷体_GB2312"/>
          <w:color w:val="231F20"/>
          <w:kern w:val="0"/>
          <w:sz w:val="32"/>
          <w:szCs w:val="32"/>
          <w:lang w:bidi="ar"/>
        </w:rPr>
        <w:t>（一）检查内容。</w:t>
      </w:r>
      <w:r>
        <w:rPr>
          <w:rFonts w:hint="eastAsia" w:ascii="仿宋" w:hAnsi="仿宋" w:eastAsia="仿宋" w:cs="仿宋"/>
          <w:sz w:val="32"/>
          <w:szCs w:val="32"/>
        </w:rPr>
        <w:t>主要检查资产评估机构内部治理、专业胜任能力、风险防范机制、质量控制体系及业务质量。按照突出重点、聚焦问题、注重实效原则，重点关注以下问题：</w:t>
      </w:r>
    </w:p>
    <w:p w14:paraId="39A0F4C7">
      <w:pPr>
        <w:spacing w:line="560" w:lineRule="exact"/>
        <w:ind w:firstLine="640" w:firstLineChars="200"/>
        <w:rPr>
          <w:rFonts w:hint="eastAsia" w:ascii="仿宋" w:hAnsi="仿宋" w:eastAsia="仿宋" w:cs="仿宋"/>
          <w:sz w:val="32"/>
          <w:szCs w:val="32"/>
        </w:rPr>
        <w:sectPr>
          <w:footerReference r:id="rId3" w:type="default"/>
          <w:pgSz w:w="11906" w:h="16838"/>
          <w:pgMar w:top="2098" w:right="1474" w:bottom="1984" w:left="1587" w:header="851" w:footer="1417" w:gutter="0"/>
          <w:pgNumType w:fmt="decimal" w:start="1"/>
          <w:cols w:space="0" w:num="1"/>
          <w:rtlGutter w:val="0"/>
          <w:docGrid w:type="lines" w:linePitch="312" w:charSpace="0"/>
        </w:sectPr>
      </w:pPr>
      <w:r>
        <w:rPr>
          <w:rFonts w:hint="eastAsia" w:ascii="仿宋" w:hAnsi="仿宋" w:eastAsia="仿宋" w:cs="仿宋"/>
          <w:sz w:val="32"/>
          <w:szCs w:val="32"/>
        </w:rPr>
        <w:t>机构内部治理。检查评估机构是否持续满足《中华人民共和国资产评估法》及《资产评估行业财政监督管理办法》规定的设立条件；资产评估机构是否按照规定进行备案；合伙人或股东任职资格合规情况；是否存在兼职、挂名执业的资产评估师的情况、</w:t>
      </w:r>
    </w:p>
    <w:p w14:paraId="40FDEB0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内部管理制度建立及执行情况等。</w:t>
      </w:r>
    </w:p>
    <w:p w14:paraId="5879C76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专业胜任能力。重点关注已备案评估机构是否具备从事资产评估业务所必须具备的专业知识，以及由此导致的胜任能力不足和执业质量问题。</w:t>
      </w:r>
    </w:p>
    <w:p w14:paraId="43F2943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风险防范机制。重点关注评估机构是否建立风险防控制度；是否足额计提职业风险基金或购买职业保险。</w:t>
      </w:r>
    </w:p>
    <w:p w14:paraId="51A24F29">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质量控制体系。检查是否按照规定建立质量控制体系，重点关注质控岗位设置、业务承接、项目执行、报告审核、报告出具、档案管理等实施情况，是否存在低价项目影响评估质量的问题等。</w:t>
      </w:r>
    </w:p>
    <w:p w14:paraId="2E25A254">
      <w:pPr>
        <w:spacing w:line="560" w:lineRule="exact"/>
        <w:ind w:firstLine="640" w:firstLineChars="200"/>
        <w:jc w:val="distribute"/>
        <w:rPr>
          <w:rFonts w:hint="eastAsia" w:ascii="仿宋" w:hAnsi="仿宋" w:eastAsia="仿宋" w:cs="仿宋"/>
          <w:sz w:val="32"/>
          <w:szCs w:val="32"/>
        </w:rPr>
      </w:pPr>
      <w:r>
        <w:rPr>
          <w:rFonts w:hint="eastAsia" w:ascii="仿宋" w:hAnsi="仿宋" w:eastAsia="仿宋" w:cs="仿宋"/>
          <w:sz w:val="32"/>
          <w:szCs w:val="32"/>
        </w:rPr>
        <w:t>业务质量检查。重点关注涉及国有资产的评估业务、金融评估业务等。检查业务执行过程中是否贯彻风险识别理念，是否执行评估准则、履行评估程序、落实评估报告编码的要求等。</w:t>
      </w:r>
    </w:p>
    <w:p w14:paraId="6D227AB0">
      <w:pPr>
        <w:widowControl/>
        <w:spacing w:line="560" w:lineRule="exact"/>
        <w:ind w:firstLine="640" w:firstLineChars="200"/>
        <w:jc w:val="left"/>
        <w:rPr>
          <w:rFonts w:hint="eastAsia" w:ascii="仿宋" w:hAnsi="仿宋" w:eastAsia="仿宋" w:cs="仿宋"/>
          <w:sz w:val="32"/>
          <w:szCs w:val="32"/>
        </w:rPr>
      </w:pPr>
      <w:r>
        <w:rPr>
          <w:rFonts w:hint="eastAsia" w:ascii="楷体_GB2312" w:hAnsi="楷体_GB2312" w:eastAsia="楷体_GB2312" w:cs="楷体_GB2312"/>
          <w:color w:val="231F20"/>
          <w:kern w:val="0"/>
          <w:sz w:val="32"/>
          <w:szCs w:val="32"/>
          <w:lang w:bidi="ar"/>
        </w:rPr>
        <w:t>（二）</w:t>
      </w:r>
      <w:r>
        <w:rPr>
          <w:rFonts w:ascii="楷体_GB2312" w:hAnsi="楷体_GB2312" w:eastAsia="楷体_GB2312" w:cs="楷体_GB2312"/>
          <w:color w:val="231F20"/>
          <w:kern w:val="0"/>
          <w:sz w:val="32"/>
          <w:szCs w:val="32"/>
          <w:lang w:bidi="ar"/>
        </w:rPr>
        <w:t>检查重点。</w:t>
      </w:r>
      <w:r>
        <w:rPr>
          <w:rFonts w:hint="eastAsia" w:ascii="仿宋" w:hAnsi="仿宋" w:eastAsia="仿宋" w:cs="仿宋"/>
          <w:sz w:val="32"/>
          <w:szCs w:val="32"/>
        </w:rPr>
        <w:t>聚焦具有重大影响的资产评估项目，重点关注关键程序未执行到位、滥用资产评估方法、出具重大遗漏或虚假评估报告等严重违法违规问题，推动资产评估机构切实提升执业质量，维护市场经济秩序。</w:t>
      </w:r>
    </w:p>
    <w:p w14:paraId="3806A382">
      <w:pPr>
        <w:spacing w:line="560" w:lineRule="exact"/>
        <w:ind w:firstLine="640" w:firstLineChars="200"/>
        <w:rPr>
          <w:rFonts w:hint="eastAsia" w:ascii="仿宋_GB2312" w:hAnsi="仿宋_GB2312" w:eastAsia="仿宋_GB2312" w:cs="仿宋_GB2312"/>
          <w:color w:val="231F20"/>
          <w:kern w:val="0"/>
          <w:sz w:val="32"/>
          <w:szCs w:val="32"/>
          <w:lang w:bidi="ar"/>
        </w:rPr>
      </w:pPr>
      <w:r>
        <w:rPr>
          <w:rFonts w:ascii="楷体_GB2312" w:hAnsi="楷体_GB2312" w:eastAsia="楷体_GB2312" w:cs="楷体_GB2312"/>
          <w:color w:val="231F20"/>
          <w:kern w:val="0"/>
          <w:sz w:val="32"/>
          <w:szCs w:val="32"/>
          <w:lang w:bidi="ar"/>
        </w:rPr>
        <w:t>（三）检查范围。</w:t>
      </w:r>
      <w:r>
        <w:rPr>
          <w:rFonts w:hint="eastAsia" w:ascii="仿宋" w:hAnsi="仿宋" w:eastAsia="仿宋" w:cs="仿宋"/>
          <w:sz w:val="32"/>
          <w:szCs w:val="32"/>
        </w:rPr>
        <w:t>随机抽取被检查资产评估机构2</w:t>
      </w:r>
      <w:r>
        <w:rPr>
          <w:rFonts w:hint="eastAsia" w:ascii="仿宋" w:hAnsi="仿宋" w:eastAsia="仿宋" w:cs="仿宋"/>
          <w:sz w:val="32"/>
          <w:szCs w:val="32"/>
          <w:highlight w:val="none"/>
        </w:rPr>
        <w:t>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年1月至202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年6月</w:t>
      </w:r>
      <w:r>
        <w:rPr>
          <w:rFonts w:hint="eastAsia" w:ascii="仿宋" w:hAnsi="仿宋" w:eastAsia="仿宋" w:cs="仿宋"/>
          <w:sz w:val="32"/>
          <w:szCs w:val="32"/>
        </w:rPr>
        <w:t>期间出具的资产评估报告，必要时可以延伸。</w:t>
      </w:r>
    </w:p>
    <w:p w14:paraId="090DB5F0">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 xml:space="preserve">五、时间安排 </w:t>
      </w:r>
    </w:p>
    <w:p w14:paraId="15908192">
      <w:pPr>
        <w:widowControl/>
        <w:spacing w:line="560" w:lineRule="exact"/>
        <w:ind w:firstLine="649" w:firstLineChars="203"/>
        <w:jc w:val="left"/>
        <w:rPr>
          <w:rFonts w:ascii="仿宋_GB2312" w:eastAsia="仿宋_GB2312"/>
          <w:sz w:val="32"/>
          <w:szCs w:val="32"/>
        </w:rPr>
      </w:pPr>
      <w:r>
        <w:rPr>
          <w:rFonts w:hint="eastAsia" w:ascii="楷体_GB2312" w:hAnsi="楷体_GB2312" w:eastAsia="楷体_GB2312" w:cs="楷体_GB2312"/>
          <w:sz w:val="32"/>
          <w:szCs w:val="32"/>
        </w:rPr>
        <w:t>（一）检查准备阶段</w:t>
      </w:r>
      <w:r>
        <w:rPr>
          <w:rFonts w:hint="eastAsia" w:ascii="楷体_GB2312" w:hAnsi="楷体_GB2312" w:eastAsia="楷体_GB2312" w:cs="楷体_GB2312"/>
          <w:sz w:val="32"/>
          <w:szCs w:val="32"/>
          <w:highlight w:val="none"/>
        </w:rPr>
        <w:t>（202</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7</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eastAsia="zh-CN"/>
        </w:rPr>
        <w:t>下旬</w:t>
      </w:r>
      <w:r>
        <w:rPr>
          <w:rFonts w:hint="eastAsia" w:ascii="楷体_GB2312" w:hAnsi="楷体_GB2312" w:eastAsia="楷体_GB2312" w:cs="楷体_GB2312"/>
          <w:sz w:val="32"/>
          <w:szCs w:val="32"/>
          <w:highlight w:val="none"/>
        </w:rPr>
        <w:t>前）</w:t>
      </w:r>
      <w:r>
        <w:rPr>
          <w:rFonts w:hint="eastAsia" w:ascii="楷体_GB2312" w:hAnsi="楷体_GB2312" w:eastAsia="楷体_GB2312" w:cs="楷体_GB2312"/>
          <w:sz w:val="32"/>
          <w:szCs w:val="32"/>
        </w:rPr>
        <w:t>。</w:t>
      </w:r>
      <w:r>
        <w:rPr>
          <w:rFonts w:hint="eastAsia" w:ascii="仿宋" w:hAnsi="仿宋" w:eastAsia="仿宋" w:cs="仿宋"/>
          <w:sz w:val="32"/>
          <w:szCs w:val="32"/>
        </w:rPr>
        <w:t>印发检查通知和方案，明确检查有关事项，并报财政部和中评协备案。确</w:t>
      </w:r>
      <w:bookmarkStart w:id="4" w:name="_GoBack"/>
      <w:bookmarkEnd w:id="4"/>
      <w:r>
        <w:rPr>
          <w:rFonts w:hint="eastAsia" w:ascii="仿宋" w:hAnsi="仿宋" w:eastAsia="仿宋" w:cs="仿宋"/>
          <w:sz w:val="32"/>
          <w:szCs w:val="32"/>
        </w:rPr>
        <w:t>定检查人员，编印检查手册，举办检查人员培训班暨检查工作部署会。</w:t>
      </w:r>
    </w:p>
    <w:p w14:paraId="0805F7F4">
      <w:pPr>
        <w:spacing w:line="560" w:lineRule="exact"/>
        <w:ind w:firstLine="640" w:firstLineChars="200"/>
        <w:rPr>
          <w:rFonts w:hint="eastAsia" w:ascii="仿宋" w:hAnsi="仿宋" w:eastAsia="仿宋" w:cs="仿宋"/>
          <w:sz w:val="32"/>
          <w:szCs w:val="32"/>
        </w:rPr>
      </w:pPr>
      <w:r>
        <w:rPr>
          <w:rFonts w:hint="eastAsia" w:ascii="楷体_GB2312" w:hAnsi="楷体_GB2312" w:eastAsia="楷体_GB2312" w:cs="楷体_GB2312"/>
          <w:sz w:val="32"/>
          <w:szCs w:val="32"/>
        </w:rPr>
        <w:t>（二）检查实施阶段</w:t>
      </w:r>
      <w:r>
        <w:rPr>
          <w:rFonts w:hint="eastAsia" w:ascii="楷体_GB2312" w:hAnsi="楷体_GB2312" w:eastAsia="楷体_GB2312" w:cs="楷体_GB2312"/>
          <w:sz w:val="32"/>
          <w:szCs w:val="32"/>
          <w:highlight w:val="none"/>
        </w:rPr>
        <w:t>（202</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9</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eastAsia="zh-CN"/>
        </w:rPr>
        <w:t>中旬</w:t>
      </w:r>
      <w:r>
        <w:rPr>
          <w:rFonts w:hint="eastAsia" w:ascii="楷体_GB2312" w:hAnsi="楷体_GB2312" w:eastAsia="楷体_GB2312" w:cs="楷体_GB2312"/>
          <w:sz w:val="32"/>
          <w:szCs w:val="32"/>
          <w:highlight w:val="none"/>
        </w:rPr>
        <w:t>前</w:t>
      </w:r>
      <w:r>
        <w:rPr>
          <w:rFonts w:hint="eastAsia" w:ascii="楷体_GB2312" w:hAnsi="楷体_GB2312" w:eastAsia="楷体_GB2312" w:cs="楷体_GB2312"/>
          <w:sz w:val="32"/>
          <w:szCs w:val="32"/>
        </w:rPr>
        <w:t>）。</w:t>
      </w:r>
      <w:r>
        <w:rPr>
          <w:rFonts w:hint="eastAsia" w:ascii="仿宋" w:hAnsi="仿宋" w:eastAsia="仿宋" w:cs="宋体"/>
          <w:color w:val="000000"/>
          <w:kern w:val="0"/>
          <w:sz w:val="32"/>
          <w:szCs w:val="32"/>
        </w:rPr>
        <w:t>通</w:t>
      </w:r>
      <w:r>
        <w:rPr>
          <w:rFonts w:hint="eastAsia" w:ascii="仿宋" w:hAnsi="仿宋" w:eastAsia="仿宋" w:cs="仿宋"/>
          <w:sz w:val="32"/>
          <w:szCs w:val="32"/>
        </w:rPr>
        <w:t>过访谈、询问、调查问卷、查阅、检查有关制度文件和报告等方法，对资产评估机构内部治理、专业胜任能力、风险防范机制、质量控制体系及业务质量检查等方面进行检查，督导专家全程做好跟踪督导工作。</w:t>
      </w:r>
    </w:p>
    <w:p w14:paraId="3B49C063">
      <w:pPr>
        <w:spacing w:line="560" w:lineRule="exact"/>
        <w:ind w:firstLine="640" w:firstLineChars="200"/>
        <w:rPr>
          <w:rFonts w:hint="eastAsia" w:ascii="仿宋" w:hAnsi="仿宋" w:eastAsia="仿宋" w:cs="仿宋"/>
          <w:sz w:val="32"/>
          <w:szCs w:val="32"/>
        </w:rPr>
      </w:pPr>
      <w:r>
        <w:rPr>
          <w:rFonts w:hint="eastAsia" w:ascii="楷体_GB2312" w:hAnsi="楷体_GB2312" w:eastAsia="楷体_GB2312" w:cs="楷体_GB2312"/>
          <w:sz w:val="32"/>
          <w:szCs w:val="32"/>
        </w:rPr>
        <w:t>（三）检查上报阶段</w:t>
      </w:r>
      <w:r>
        <w:rPr>
          <w:rFonts w:hint="eastAsia" w:ascii="楷体_GB2312" w:hAnsi="楷体_GB2312" w:eastAsia="楷体_GB2312" w:cs="楷体_GB2312"/>
          <w:sz w:val="32"/>
          <w:szCs w:val="32"/>
          <w:highlight w:val="none"/>
        </w:rPr>
        <w:t>（202</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9</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eastAsia="zh-CN"/>
        </w:rPr>
        <w:t>底前</w:t>
      </w:r>
      <w:r>
        <w:rPr>
          <w:rFonts w:hint="eastAsia" w:ascii="楷体_GB2312" w:hAnsi="楷体_GB2312" w:eastAsia="楷体_GB2312" w:cs="楷体_GB2312"/>
          <w:sz w:val="32"/>
          <w:szCs w:val="32"/>
        </w:rPr>
        <w:t>）。</w:t>
      </w:r>
      <w:r>
        <w:rPr>
          <w:rFonts w:hint="eastAsia" w:ascii="仿宋" w:hAnsi="仿宋" w:eastAsia="仿宋" w:cs="仿宋"/>
          <w:sz w:val="32"/>
          <w:szCs w:val="32"/>
        </w:rPr>
        <w:t xml:space="preserve">现场检查结束后，检查工作组将检查所发现的问题形成检查工作底稿和书面检查报告，并上报检查领导组。 </w:t>
      </w:r>
    </w:p>
    <w:p w14:paraId="124F9679">
      <w:pPr>
        <w:widowControl/>
        <w:spacing w:line="560" w:lineRule="exact"/>
        <w:ind w:firstLine="649" w:firstLineChars="203"/>
        <w:rPr>
          <w:rFonts w:hint="eastAsia" w:ascii="仿宋" w:hAnsi="仿宋" w:eastAsia="仿宋" w:cs="仿宋"/>
          <w:sz w:val="32"/>
          <w:szCs w:val="32"/>
          <w:lang w:eastAsia="zh-CN"/>
        </w:rPr>
      </w:pPr>
      <w:r>
        <w:rPr>
          <w:rFonts w:hint="eastAsia" w:ascii="楷体_GB2312" w:hAnsi="楷体_GB2312" w:eastAsia="楷体_GB2312" w:cs="楷体_GB2312"/>
          <w:sz w:val="32"/>
          <w:szCs w:val="32"/>
        </w:rPr>
        <w:t>(四）检查处理阶段（</w:t>
      </w:r>
      <w:r>
        <w:rPr>
          <w:rFonts w:ascii="楷体_GB2312" w:hAnsi="楷体_GB2312" w:eastAsia="楷体_GB2312" w:cs="楷体_GB2312"/>
          <w:sz w:val="32"/>
          <w:szCs w:val="32"/>
          <w:highlight w:val="none"/>
        </w:rPr>
        <w:t>202</w:t>
      </w:r>
      <w:r>
        <w:rPr>
          <w:rFonts w:hint="eastAsia" w:ascii="楷体_GB2312" w:hAnsi="楷体_GB2312" w:eastAsia="楷体_GB2312" w:cs="楷体_GB2312"/>
          <w:sz w:val="32"/>
          <w:szCs w:val="32"/>
          <w:highlight w:val="none"/>
          <w:lang w:val="en-US" w:eastAsia="zh-CN"/>
        </w:rPr>
        <w:t>6</w:t>
      </w:r>
      <w:r>
        <w:rPr>
          <w:rFonts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rPr>
        <w:t>11</w:t>
      </w:r>
      <w:r>
        <w:rPr>
          <w:rFonts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eastAsia="zh-CN"/>
        </w:rPr>
        <w:t>中旬</w:t>
      </w:r>
      <w:r>
        <w:rPr>
          <w:rFonts w:hint="eastAsia" w:ascii="楷体_GB2312" w:hAnsi="楷体_GB2312" w:eastAsia="楷体_GB2312" w:cs="楷体_GB2312"/>
          <w:sz w:val="32"/>
          <w:szCs w:val="32"/>
          <w:highlight w:val="none"/>
        </w:rPr>
        <w:t>前</w:t>
      </w:r>
      <w:r>
        <w:rPr>
          <w:rFonts w:hint="eastAsia" w:ascii="楷体_GB2312" w:hAnsi="楷体_GB2312" w:eastAsia="楷体_GB2312" w:cs="楷体_GB2312"/>
          <w:sz w:val="32"/>
          <w:szCs w:val="32"/>
        </w:rPr>
        <w:t>）。</w:t>
      </w:r>
      <w:r>
        <w:rPr>
          <w:rFonts w:hint="eastAsia" w:ascii="仿宋" w:hAnsi="仿宋" w:eastAsia="仿宋" w:cs="仿宋"/>
          <w:sz w:val="32"/>
          <w:szCs w:val="32"/>
        </w:rPr>
        <w:t>针对检查中发现的问题，组织专家论证，对存在违法违规行为的资产评估机构及资产评估师，依据相关法律法规进行行政处理处罚和行业自律惩戒。</w:t>
      </w:r>
    </w:p>
    <w:p w14:paraId="29C24790">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 xml:space="preserve">六、具体要求 </w:t>
      </w:r>
    </w:p>
    <w:p w14:paraId="619CC2B6">
      <w:pPr>
        <w:widowControl/>
        <w:spacing w:line="560" w:lineRule="exact"/>
        <w:ind w:firstLine="649" w:firstLineChars="203"/>
        <w:jc w:val="left"/>
        <w:rPr>
          <w:rFonts w:hint="eastAsia" w:ascii="仿宋" w:hAnsi="仿宋" w:eastAsia="仿宋" w:cs="仿宋"/>
          <w:sz w:val="32"/>
          <w:szCs w:val="32"/>
        </w:rPr>
      </w:pPr>
      <w:r>
        <w:rPr>
          <w:rFonts w:hint="eastAsia" w:ascii="楷体_GB2312" w:hAnsi="楷体_GB2312" w:eastAsia="楷体_GB2312" w:cs="楷体_GB2312"/>
          <w:sz w:val="32"/>
          <w:szCs w:val="32"/>
        </w:rPr>
        <w:t>（一）加强组织管理。</w:t>
      </w:r>
      <w:r>
        <w:rPr>
          <w:rFonts w:hint="eastAsia" w:ascii="仿宋" w:hAnsi="仿宋" w:eastAsia="仿宋" w:cs="仿宋"/>
          <w:sz w:val="32"/>
          <w:szCs w:val="32"/>
        </w:rPr>
        <w:t xml:space="preserve">检查组全体检查人员要遵循统一思想认识、统一规范程序、统一标准制度的原则，加强协作、形成合力，统筹推进工作；检查工作要坚持问题导向，完善工作机制，讲求工作方法，做到依法依规、客观公正、过程留痕，严格控制风险，确保检查工作取得实效。 </w:t>
      </w:r>
    </w:p>
    <w:p w14:paraId="329C2455">
      <w:pPr>
        <w:widowControl/>
        <w:spacing w:line="560" w:lineRule="exact"/>
        <w:ind w:firstLine="649" w:firstLineChars="203"/>
        <w:jc w:val="left"/>
        <w:rPr>
          <w:rFonts w:hint="eastAsia" w:ascii="仿宋" w:hAnsi="仿宋" w:eastAsia="仿宋" w:cs="仿宋"/>
          <w:sz w:val="32"/>
          <w:szCs w:val="32"/>
        </w:rPr>
      </w:pPr>
      <w:r>
        <w:rPr>
          <w:rFonts w:hint="eastAsia" w:ascii="楷体_GB2312" w:hAnsi="楷体_GB2312" w:eastAsia="楷体_GB2312" w:cs="楷体_GB2312"/>
          <w:sz w:val="32"/>
          <w:szCs w:val="32"/>
        </w:rPr>
        <w:t>（二）严肃工作纪律。</w:t>
      </w:r>
      <w:r>
        <w:rPr>
          <w:rFonts w:hint="eastAsia" w:ascii="仿宋_GB2312" w:hAnsi="仿宋_GB2312" w:eastAsia="仿宋_GB2312" w:cs="仿宋_GB2312"/>
          <w:color w:val="231F20"/>
          <w:kern w:val="0"/>
          <w:sz w:val="32"/>
          <w:szCs w:val="32"/>
          <w:lang w:bidi="ar"/>
        </w:rPr>
        <w:t>全</w:t>
      </w:r>
      <w:r>
        <w:rPr>
          <w:rFonts w:hint="eastAsia" w:ascii="仿宋" w:hAnsi="仿宋" w:eastAsia="仿宋" w:cs="仿宋"/>
          <w:sz w:val="32"/>
          <w:szCs w:val="32"/>
        </w:rPr>
        <w:t>体检查人员要履职尽责，严格遵守《会计和评估监督检查工作纪律》有关要求，严肃检查纪律，做到客观、公正、廉洁、自律，自觉维护检查队伍的良好形象，实现检查工作的独立性，保障检查工作高质高效完成。</w:t>
      </w:r>
    </w:p>
    <w:p w14:paraId="5F48F4A5">
      <w:pPr>
        <w:widowControl/>
        <w:spacing w:line="560" w:lineRule="exact"/>
        <w:ind w:firstLine="649" w:firstLineChars="203"/>
        <w:jc w:val="left"/>
        <w:rPr>
          <w:rFonts w:hint="eastAsia" w:ascii="仿宋" w:hAnsi="仿宋" w:eastAsia="仿宋" w:cs="仿宋"/>
          <w:sz w:val="32"/>
          <w:szCs w:val="32"/>
        </w:rPr>
      </w:pPr>
    </w:p>
    <w:p w14:paraId="46D44DF7">
      <w:pPr>
        <w:widowControl/>
        <w:spacing w:line="560" w:lineRule="exact"/>
        <w:ind w:firstLine="649" w:firstLineChars="203"/>
        <w:jc w:val="left"/>
        <w:rPr>
          <w:rFonts w:hint="eastAsia" w:ascii="仿宋" w:hAnsi="仿宋" w:eastAsia="仿宋" w:cs="仿宋"/>
          <w:sz w:val="32"/>
          <w:szCs w:val="32"/>
        </w:rPr>
      </w:pPr>
    </w:p>
    <w:p w14:paraId="4F2581E1">
      <w:pPr>
        <w:widowControl/>
        <w:spacing w:line="560" w:lineRule="exact"/>
        <w:ind w:firstLine="649" w:firstLineChars="203"/>
        <w:jc w:val="left"/>
        <w:rPr>
          <w:rFonts w:hint="eastAsia" w:ascii="仿宋" w:hAnsi="仿宋" w:eastAsia="仿宋" w:cs="仿宋"/>
          <w:sz w:val="32"/>
          <w:szCs w:val="32"/>
        </w:rPr>
      </w:pPr>
    </w:p>
    <w:p w14:paraId="6AA55F04">
      <w:pPr>
        <w:widowControl/>
        <w:spacing w:line="560" w:lineRule="exact"/>
        <w:ind w:firstLine="649" w:firstLineChars="203"/>
        <w:jc w:val="left"/>
        <w:rPr>
          <w:rFonts w:hint="eastAsia" w:ascii="仿宋" w:hAnsi="仿宋" w:eastAsia="仿宋" w:cs="仿宋"/>
          <w:sz w:val="32"/>
          <w:szCs w:val="32"/>
        </w:rPr>
      </w:pPr>
    </w:p>
    <w:p w14:paraId="32C2FE8B">
      <w:pPr>
        <w:widowControl/>
        <w:spacing w:line="560" w:lineRule="exact"/>
        <w:ind w:firstLine="649" w:firstLineChars="203"/>
        <w:jc w:val="left"/>
        <w:rPr>
          <w:rFonts w:hint="eastAsia" w:ascii="仿宋" w:hAnsi="仿宋" w:eastAsia="仿宋" w:cs="仿宋"/>
          <w:sz w:val="32"/>
          <w:szCs w:val="32"/>
        </w:rPr>
      </w:pPr>
    </w:p>
    <w:p w14:paraId="4475DB5A">
      <w:pPr>
        <w:widowControl/>
        <w:spacing w:line="560" w:lineRule="exact"/>
        <w:ind w:firstLine="649" w:firstLineChars="203"/>
        <w:jc w:val="left"/>
        <w:rPr>
          <w:rFonts w:hint="eastAsia" w:ascii="仿宋" w:hAnsi="仿宋" w:eastAsia="仿宋" w:cs="仿宋"/>
          <w:sz w:val="32"/>
          <w:szCs w:val="32"/>
        </w:rPr>
      </w:pPr>
    </w:p>
    <w:p w14:paraId="6502AF66">
      <w:pPr>
        <w:widowControl/>
        <w:spacing w:line="560" w:lineRule="exact"/>
        <w:ind w:firstLine="649" w:firstLineChars="203"/>
        <w:jc w:val="left"/>
        <w:rPr>
          <w:rFonts w:hint="eastAsia" w:ascii="仿宋" w:hAnsi="仿宋" w:eastAsia="仿宋" w:cs="仿宋"/>
          <w:sz w:val="32"/>
          <w:szCs w:val="32"/>
        </w:rPr>
      </w:pPr>
    </w:p>
    <w:p w14:paraId="670FD3DF">
      <w:pPr>
        <w:widowControl/>
        <w:spacing w:line="560" w:lineRule="exact"/>
        <w:ind w:firstLine="649" w:firstLineChars="203"/>
        <w:jc w:val="left"/>
        <w:rPr>
          <w:rFonts w:hint="eastAsia" w:ascii="仿宋" w:hAnsi="仿宋" w:eastAsia="仿宋" w:cs="仿宋"/>
          <w:sz w:val="32"/>
          <w:szCs w:val="32"/>
        </w:rPr>
      </w:pPr>
    </w:p>
    <w:p w14:paraId="23489649">
      <w:pPr>
        <w:widowControl/>
        <w:spacing w:line="560" w:lineRule="exact"/>
        <w:ind w:firstLine="649" w:firstLineChars="203"/>
        <w:jc w:val="left"/>
        <w:rPr>
          <w:rFonts w:hint="eastAsia" w:ascii="仿宋" w:hAnsi="仿宋" w:eastAsia="仿宋" w:cs="仿宋"/>
          <w:sz w:val="32"/>
          <w:szCs w:val="32"/>
        </w:rPr>
      </w:pPr>
    </w:p>
    <w:p w14:paraId="717A5EAE">
      <w:pPr>
        <w:widowControl/>
        <w:spacing w:line="560" w:lineRule="exact"/>
        <w:ind w:firstLine="649" w:firstLineChars="203"/>
        <w:jc w:val="left"/>
        <w:rPr>
          <w:rFonts w:hint="eastAsia" w:ascii="仿宋" w:hAnsi="仿宋" w:eastAsia="仿宋" w:cs="仿宋"/>
          <w:sz w:val="32"/>
          <w:szCs w:val="32"/>
        </w:rPr>
      </w:pPr>
    </w:p>
    <w:p w14:paraId="08790CF1">
      <w:pPr>
        <w:widowControl/>
        <w:spacing w:line="560" w:lineRule="exact"/>
        <w:ind w:firstLine="649" w:firstLineChars="203"/>
        <w:jc w:val="left"/>
        <w:rPr>
          <w:rFonts w:hint="eastAsia" w:ascii="仿宋" w:hAnsi="仿宋" w:eastAsia="仿宋" w:cs="仿宋"/>
          <w:sz w:val="32"/>
          <w:szCs w:val="32"/>
        </w:rPr>
      </w:pPr>
    </w:p>
    <w:p w14:paraId="16058262">
      <w:pPr>
        <w:widowControl/>
        <w:spacing w:line="560" w:lineRule="exact"/>
        <w:ind w:firstLine="649" w:firstLineChars="203"/>
        <w:jc w:val="left"/>
        <w:rPr>
          <w:rFonts w:hint="eastAsia" w:ascii="仿宋" w:hAnsi="仿宋" w:eastAsia="仿宋" w:cs="仿宋"/>
          <w:sz w:val="32"/>
          <w:szCs w:val="32"/>
          <w:lang w:val="en-US" w:eastAsia="zh-CN"/>
        </w:rPr>
      </w:pPr>
    </w:p>
    <w:sectPr>
      <w:footerReference r:id="rId4" w:type="default"/>
      <w:pgSz w:w="11906" w:h="16838"/>
      <w:pgMar w:top="2098" w:right="1474" w:bottom="1984" w:left="1587" w:header="851" w:footer="141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9888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EE5EB">
                          <w:pPr>
                            <w:pStyle w:val="3"/>
                            <w:keepNext w:val="0"/>
                            <w:keepLines w:val="0"/>
                            <w:pageBreakBefore w:val="0"/>
                            <w:widowControl w:val="0"/>
                            <w:kinsoku/>
                            <w:wordWrap/>
                            <w:overflowPunct/>
                            <w:topLinePunct w:val="0"/>
                            <w:autoSpaceDE/>
                            <w:autoSpaceDN/>
                            <w:bidi w:val="0"/>
                            <w:adjustRightInd/>
                            <w:snapToGrid w:val="0"/>
                            <w:ind w:left="0" w:leftChars="0" w:right="0" w:rightChars="0"/>
                            <w:textAlignment w:val="auto"/>
                            <w:rPr>
                              <w:rFonts w:hint="eastAsia" w:eastAsiaTheme="minorEastAsia"/>
                              <w:lang w:eastAsia="zh-CN"/>
                            </w:rPr>
                          </w:pPr>
                          <w:r>
                            <w:rPr>
                              <w:rFonts w:hint="eastAsia" w:asciiTheme="minorEastAsia" w:hAnsiTheme="minorEastAsia" w:eastAsiaTheme="minorEastAsia" w:cstheme="minorEastAsia"/>
                              <w:sz w:val="28"/>
                              <w:szCs w:val="36"/>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1EE5EB">
                    <w:pPr>
                      <w:pStyle w:val="3"/>
                      <w:keepNext w:val="0"/>
                      <w:keepLines w:val="0"/>
                      <w:pageBreakBefore w:val="0"/>
                      <w:widowControl w:val="0"/>
                      <w:kinsoku/>
                      <w:wordWrap/>
                      <w:overflowPunct/>
                      <w:topLinePunct w:val="0"/>
                      <w:autoSpaceDE/>
                      <w:autoSpaceDN/>
                      <w:bidi w:val="0"/>
                      <w:adjustRightInd/>
                      <w:snapToGrid w:val="0"/>
                      <w:ind w:left="0" w:leftChars="0" w:right="0" w:rightChars="0"/>
                      <w:textAlignment w:val="auto"/>
                      <w:rPr>
                        <w:rFonts w:hint="eastAsia" w:eastAsiaTheme="minorEastAsia"/>
                        <w:lang w:eastAsia="zh-CN"/>
                      </w:rPr>
                    </w:pPr>
                    <w:r>
                      <w:rPr>
                        <w:rFonts w:hint="eastAsia" w:asciiTheme="minorEastAsia" w:hAnsiTheme="minorEastAsia" w:eastAsiaTheme="minorEastAsia" w:cstheme="minorEastAsia"/>
                        <w:sz w:val="28"/>
                        <w:szCs w:val="36"/>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530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58"/>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Nzk0NDJjZGNkZmI0ZWNjMGQwMTUwNGFhMzNjM2QifQ=="/>
  </w:docVars>
  <w:rsids>
    <w:rsidRoot w:val="4540113C"/>
    <w:rsid w:val="01C1160E"/>
    <w:rsid w:val="02EC6AB9"/>
    <w:rsid w:val="08A92EB7"/>
    <w:rsid w:val="09876892"/>
    <w:rsid w:val="0DDF1A55"/>
    <w:rsid w:val="0F303097"/>
    <w:rsid w:val="16C51144"/>
    <w:rsid w:val="17455A62"/>
    <w:rsid w:val="180A0897"/>
    <w:rsid w:val="1939121C"/>
    <w:rsid w:val="19D8234A"/>
    <w:rsid w:val="1AD66BC7"/>
    <w:rsid w:val="1CE01044"/>
    <w:rsid w:val="1E850C49"/>
    <w:rsid w:val="1EAFD428"/>
    <w:rsid w:val="1EFD19AB"/>
    <w:rsid w:val="1F76650E"/>
    <w:rsid w:val="1FBF44E7"/>
    <w:rsid w:val="20971F6D"/>
    <w:rsid w:val="20B33914"/>
    <w:rsid w:val="214D06D1"/>
    <w:rsid w:val="229D30F7"/>
    <w:rsid w:val="23F1F53A"/>
    <w:rsid w:val="24B06062"/>
    <w:rsid w:val="28D635FE"/>
    <w:rsid w:val="2EC83714"/>
    <w:rsid w:val="2FD68A69"/>
    <w:rsid w:val="31E92125"/>
    <w:rsid w:val="32554FB5"/>
    <w:rsid w:val="337E2454"/>
    <w:rsid w:val="34B252EE"/>
    <w:rsid w:val="35E84393"/>
    <w:rsid w:val="36764AD0"/>
    <w:rsid w:val="37DCFF7E"/>
    <w:rsid w:val="37F78CC5"/>
    <w:rsid w:val="38DC3167"/>
    <w:rsid w:val="3956069A"/>
    <w:rsid w:val="3ABBF36F"/>
    <w:rsid w:val="3BDD50A5"/>
    <w:rsid w:val="3DAD7147"/>
    <w:rsid w:val="3E962106"/>
    <w:rsid w:val="3FBF47B0"/>
    <w:rsid w:val="3FE672DB"/>
    <w:rsid w:val="42787C33"/>
    <w:rsid w:val="450A191F"/>
    <w:rsid w:val="45100923"/>
    <w:rsid w:val="4540113C"/>
    <w:rsid w:val="464D4196"/>
    <w:rsid w:val="47990A88"/>
    <w:rsid w:val="4BF5F484"/>
    <w:rsid w:val="4FA20240"/>
    <w:rsid w:val="5283118A"/>
    <w:rsid w:val="53510231"/>
    <w:rsid w:val="56D030D2"/>
    <w:rsid w:val="57CA7B68"/>
    <w:rsid w:val="597E2B1F"/>
    <w:rsid w:val="59DB4026"/>
    <w:rsid w:val="5A5DFA54"/>
    <w:rsid w:val="5EFF03CA"/>
    <w:rsid w:val="5F7F7483"/>
    <w:rsid w:val="62282889"/>
    <w:rsid w:val="655950A2"/>
    <w:rsid w:val="67B9499C"/>
    <w:rsid w:val="67FF12CD"/>
    <w:rsid w:val="6BF3AFB4"/>
    <w:rsid w:val="6CFD6A1B"/>
    <w:rsid w:val="6D086B75"/>
    <w:rsid w:val="6DFFC389"/>
    <w:rsid w:val="6EEFCD33"/>
    <w:rsid w:val="6FD6C814"/>
    <w:rsid w:val="73EB7D12"/>
    <w:rsid w:val="746FC55A"/>
    <w:rsid w:val="76D60775"/>
    <w:rsid w:val="77FE084B"/>
    <w:rsid w:val="79FC15AC"/>
    <w:rsid w:val="79FEBD68"/>
    <w:rsid w:val="7A70572B"/>
    <w:rsid w:val="7B9FF2B6"/>
    <w:rsid w:val="7BDEA132"/>
    <w:rsid w:val="7BEDA3AA"/>
    <w:rsid w:val="7BF03635"/>
    <w:rsid w:val="7DDBB0B8"/>
    <w:rsid w:val="7EDE5E63"/>
    <w:rsid w:val="7FA7C068"/>
    <w:rsid w:val="7FC459E9"/>
    <w:rsid w:val="7FDAE402"/>
    <w:rsid w:val="7FEF5DDF"/>
    <w:rsid w:val="9FAAA988"/>
    <w:rsid w:val="A7BE596A"/>
    <w:rsid w:val="ABBF607E"/>
    <w:rsid w:val="AFFD536F"/>
    <w:rsid w:val="BA7B23C6"/>
    <w:rsid w:val="BAE519F2"/>
    <w:rsid w:val="BCDFCE0D"/>
    <w:rsid w:val="BE7C44DA"/>
    <w:rsid w:val="BF3B27B2"/>
    <w:rsid w:val="BFCD68D7"/>
    <w:rsid w:val="BFD6E821"/>
    <w:rsid w:val="BFFE4C56"/>
    <w:rsid w:val="BFFFACAD"/>
    <w:rsid w:val="CFDBDDB6"/>
    <w:rsid w:val="DE6F6261"/>
    <w:rsid w:val="DF4F7CAA"/>
    <w:rsid w:val="DFA38C57"/>
    <w:rsid w:val="E27C06B7"/>
    <w:rsid w:val="EAFFBF5E"/>
    <w:rsid w:val="ECA2266B"/>
    <w:rsid w:val="EDED12E8"/>
    <w:rsid w:val="F5FC9EB3"/>
    <w:rsid w:val="F77E5F01"/>
    <w:rsid w:val="F9FEADF6"/>
    <w:rsid w:val="FBBBF168"/>
    <w:rsid w:val="FBFE30C1"/>
    <w:rsid w:val="FF46A45C"/>
    <w:rsid w:val="FF8DD294"/>
    <w:rsid w:val="FFBB28F6"/>
    <w:rsid w:val="FFCECB95"/>
    <w:rsid w:val="FFF8B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21"/>
    <w:basedOn w:val="9"/>
    <w:qFormat/>
    <w:uiPriority w:val="0"/>
    <w:rPr>
      <w:rFonts w:hint="eastAsia" w:ascii="黑体" w:hAnsi="宋体" w:eastAsia="黑体" w:cs="黑体"/>
      <w:color w:val="000000"/>
      <w:sz w:val="32"/>
      <w:szCs w:val="32"/>
      <w:u w:val="none"/>
    </w:rPr>
  </w:style>
  <w:style w:type="character" w:customStyle="1" w:styleId="11">
    <w:name w:val="font71"/>
    <w:basedOn w:val="9"/>
    <w:qFormat/>
    <w:uiPriority w:val="0"/>
    <w:rPr>
      <w:rFonts w:hint="default" w:ascii="Times New Roman" w:hAnsi="Times New Roman" w:cs="Times New Roman"/>
      <w:color w:val="000000"/>
      <w:sz w:val="32"/>
      <w:szCs w:val="32"/>
      <w:u w:val="none"/>
    </w:rPr>
  </w:style>
  <w:style w:type="character" w:customStyle="1" w:styleId="12">
    <w:name w:val="font11"/>
    <w:basedOn w:val="9"/>
    <w:qFormat/>
    <w:uiPriority w:val="0"/>
    <w:rPr>
      <w:rFonts w:hint="eastAsia" w:ascii="宋体" w:hAnsi="宋体" w:eastAsia="宋体" w:cs="宋体"/>
      <w:color w:val="000000"/>
      <w:sz w:val="24"/>
      <w:szCs w:val="24"/>
      <w:u w:val="none"/>
    </w:rPr>
  </w:style>
  <w:style w:type="character" w:customStyle="1" w:styleId="13">
    <w:name w:val="font3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846</Words>
  <Characters>901</Characters>
  <Lines>0</Lines>
  <Paragraphs>0</Paragraphs>
  <TotalTime>8</TotalTime>
  <ScaleCrop>false</ScaleCrop>
  <LinksUpToDate>false</LinksUpToDate>
  <CharactersWithSpaces>905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2021-01-19T00:05:00Z</dcterms:created>
  <dc:creator>精彩人生</dc:creator>
  <cp:lastModifiedBy>杨建丽</cp:lastModifiedBy>
  <cp:lastPrinted>2026-07-14T01:54:25Z</cp:lastPrinted>
  <dcterms:modified xsi:type="dcterms:W3CDTF">2026-07-14T01:59:05Z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928C274FC9FB47F8B3DC2B8D408F4EA4_13</vt:lpwstr>
  </property>
  <property fmtid="{D5CDD505-2E9C-101B-9397-08002B2CF9AE}" pid="4" name="KSOTemplateDocerSaveRecord">
    <vt:lpwstr>eyJoZGlkIjoiNjYyYWFkYjNhZGE2NWQzNTVkNjg2Y2UzNjcxMDc3ZmUiLCJ1c2VySWQiOiI0Mjk1MDA4MzYifQ==</vt:lpwstr>
  </property>
</Properties>
</file>