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C4400">
      <w:pPr>
        <w:keepNext w:val="0"/>
        <w:keepLines w:val="0"/>
        <w:widowControl w:val="0"/>
        <w:suppressLineNumbers w:val="0"/>
        <w:autoSpaceDE w:val="0"/>
        <w:autoSpaceDN/>
        <w:spacing w:before="0" w:beforeAutospacing="0" w:after="0" w:afterAutospacing="0" w:line="560" w:lineRule="exact"/>
        <w:ind w:left="0" w:right="0"/>
        <w:jc w:val="both"/>
        <w:rPr>
          <w:rFonts w:hint="eastAsia" w:ascii="黑体" w:hAnsi="黑体" w:eastAsia="黑体" w:cs="黑体"/>
          <w:kern w:val="2"/>
          <w:sz w:val="32"/>
          <w:szCs w:val="32"/>
          <w:lang w:val="en-US" w:eastAsia="zh-CN" w:bidi="ar"/>
        </w:rPr>
      </w:pPr>
      <w:bookmarkStart w:id="0" w:name="_GoBack"/>
      <w:bookmarkEnd w:id="0"/>
      <w:r>
        <w:rPr>
          <w:rFonts w:hint="eastAsia" w:ascii="黑体" w:hAnsi="黑体" w:eastAsia="黑体" w:cs="黑体"/>
          <w:kern w:val="2"/>
          <w:sz w:val="32"/>
          <w:szCs w:val="32"/>
          <w:lang w:val="en-US" w:eastAsia="zh-CN" w:bidi="ar"/>
        </w:rPr>
        <w:t>附件</w:t>
      </w:r>
    </w:p>
    <w:p w14:paraId="04940DF7">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p>
    <w:p w14:paraId="49E9E7AE">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大标宋简体" w:cs="Times New Roman"/>
          <w:color w:val="000000"/>
          <w:kern w:val="2"/>
          <w:sz w:val="44"/>
          <w:szCs w:val="44"/>
        </w:rPr>
      </w:pPr>
      <w:r>
        <w:rPr>
          <w:rFonts w:hint="default" w:ascii="Times New Roman" w:hAnsi="Times New Roman" w:eastAsia="方正大标宋简体" w:cs="Times New Roman"/>
          <w:color w:val="000000"/>
          <w:kern w:val="2"/>
          <w:sz w:val="44"/>
          <w:szCs w:val="44"/>
          <w:lang w:val="en-US" w:eastAsia="zh-CN" w:bidi="ar"/>
        </w:rPr>
        <w:t>上海证券交易所港股通交易风险揭示书</w:t>
      </w:r>
    </w:p>
    <w:p w14:paraId="4D2B29D5">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大标宋简体" w:cs="Times New Roman"/>
          <w:color w:val="000000"/>
          <w:kern w:val="2"/>
          <w:sz w:val="44"/>
          <w:szCs w:val="44"/>
        </w:rPr>
      </w:pPr>
      <w:r>
        <w:rPr>
          <w:rFonts w:hint="default" w:ascii="Times New Roman" w:hAnsi="Times New Roman" w:eastAsia="方正大标宋简体" w:cs="Times New Roman"/>
          <w:color w:val="000000"/>
          <w:kern w:val="2"/>
          <w:sz w:val="44"/>
          <w:szCs w:val="44"/>
          <w:lang w:val="en-US" w:eastAsia="zh-CN" w:bidi="ar"/>
        </w:rPr>
        <w:t>必备条款</w:t>
      </w:r>
    </w:p>
    <w:p w14:paraId="72E3286B">
      <w:pPr>
        <w:keepNext w:val="0"/>
        <w:keepLines w:val="0"/>
        <w:widowControl w:val="0"/>
        <w:suppressLineNumbers w:val="0"/>
        <w:spacing w:before="0" w:beforeAutospacing="0" w:after="0" w:afterAutospacing="0" w:line="560" w:lineRule="exact"/>
        <w:ind w:left="0" w:right="25"/>
        <w:jc w:val="center"/>
        <w:rPr>
          <w:rFonts w:hint="default" w:ascii="Times New Roman" w:hAnsi="Times New Roman" w:eastAsia="仿宋_GB2312" w:cs="Times New Roman"/>
          <w:color w:val="000000"/>
          <w:w w:val="99"/>
          <w:kern w:val="0"/>
          <w:sz w:val="32"/>
          <w:szCs w:val="32"/>
        </w:rPr>
      </w:pPr>
      <w:r>
        <w:rPr>
          <w:rFonts w:hint="default" w:ascii="Times New Roman" w:hAnsi="Times New Roman" w:eastAsia="仿宋_GB2312" w:cs="Times New Roman"/>
          <w:color w:val="000000"/>
          <w:w w:val="99"/>
          <w:kern w:val="0"/>
          <w:sz w:val="32"/>
          <w:szCs w:val="32"/>
          <w:lang w:val="en-US" w:eastAsia="zh-CN" w:bidi="ar"/>
        </w:rPr>
        <w:t>（2014年9月26日实施 2016年7月22日第一次修订</w:t>
      </w:r>
    </w:p>
    <w:p w14:paraId="07524069">
      <w:pPr>
        <w:keepNext w:val="0"/>
        <w:keepLines w:val="0"/>
        <w:widowControl w:val="0"/>
        <w:suppressLineNumbers w:val="0"/>
        <w:spacing w:before="0" w:beforeAutospacing="0" w:after="0" w:afterAutospacing="0" w:line="560" w:lineRule="exact"/>
        <w:ind w:left="0" w:right="25"/>
        <w:jc w:val="center"/>
        <w:rPr>
          <w:rFonts w:hint="default" w:ascii="Times New Roman" w:hAnsi="Times New Roman" w:eastAsia="仿宋_GB2312" w:cs="Times New Roman"/>
          <w:color w:val="000000"/>
          <w:w w:val="99"/>
          <w:kern w:val="0"/>
          <w:sz w:val="32"/>
          <w:szCs w:val="32"/>
        </w:rPr>
      </w:pPr>
      <w:r>
        <w:rPr>
          <w:rFonts w:hint="default" w:ascii="Times New Roman" w:hAnsi="Times New Roman" w:eastAsia="仿宋_GB2312" w:cs="Times New Roman"/>
          <w:color w:val="000000"/>
          <w:w w:val="99"/>
          <w:kern w:val="0"/>
          <w:sz w:val="32"/>
          <w:szCs w:val="32"/>
          <w:lang w:val="en-US" w:eastAsia="zh-CN" w:bidi="ar"/>
        </w:rPr>
        <w:t>2016年9月30日第二次修订 2019年10月28日第三次修订</w:t>
      </w:r>
    </w:p>
    <w:p w14:paraId="4FBDCC46">
      <w:pPr>
        <w:keepNext w:val="0"/>
        <w:keepLines w:val="0"/>
        <w:widowControl w:val="0"/>
        <w:suppressLineNumbers w:val="0"/>
        <w:spacing w:before="0" w:beforeAutospacing="0" w:after="0" w:afterAutospacing="0" w:line="560" w:lineRule="exact"/>
        <w:ind w:left="0" w:right="25"/>
        <w:jc w:val="center"/>
        <w:rPr>
          <w:rFonts w:hint="default" w:ascii="Times New Roman" w:hAnsi="Times New Roman" w:eastAsia="仿宋_GB2312" w:cs="Times New Roman"/>
          <w:color w:val="000000"/>
          <w:w w:val="99"/>
          <w:kern w:val="0"/>
          <w:sz w:val="32"/>
          <w:szCs w:val="32"/>
        </w:rPr>
      </w:pPr>
      <w:r>
        <w:rPr>
          <w:rFonts w:hint="default" w:ascii="Times New Roman" w:hAnsi="Times New Roman" w:eastAsia="仿宋_GB2312" w:cs="Times New Roman"/>
          <w:color w:val="000000"/>
          <w:w w:val="99"/>
          <w:kern w:val="0"/>
          <w:sz w:val="32"/>
          <w:szCs w:val="32"/>
          <w:lang w:val="en-US" w:eastAsia="zh-CN" w:bidi="ar"/>
        </w:rPr>
        <w:t>2020年12月28日第四次修订</w:t>
      </w:r>
      <w:r>
        <w:rPr>
          <w:rFonts w:hint="eastAsia" w:ascii="Times New Roman" w:hAnsi="Times New Roman" w:eastAsia="仿宋_GB2312" w:cs="Times New Roman"/>
          <w:color w:val="000000"/>
          <w:w w:val="99"/>
          <w:kern w:val="0"/>
          <w:sz w:val="32"/>
          <w:szCs w:val="32"/>
          <w:lang w:val="en-US" w:eastAsia="zh" w:bidi="ar"/>
        </w:rPr>
        <w:t xml:space="preserve"> </w:t>
      </w:r>
      <w:r>
        <w:rPr>
          <w:rFonts w:hint="default" w:ascii="Times New Roman" w:hAnsi="Times New Roman" w:eastAsia="仿宋_GB2312" w:cs="Times New Roman"/>
          <w:color w:val="000000"/>
          <w:w w:val="99"/>
          <w:kern w:val="0"/>
          <w:sz w:val="32"/>
          <w:szCs w:val="32"/>
          <w:lang w:val="en-US" w:eastAsia="zh-CN" w:bidi="ar"/>
        </w:rPr>
        <w:t>2022年6月24日第五次修订</w:t>
      </w:r>
    </w:p>
    <w:p w14:paraId="72972429">
      <w:pPr>
        <w:keepNext w:val="0"/>
        <w:keepLines w:val="0"/>
        <w:widowControl w:val="0"/>
        <w:suppressLineNumbers w:val="0"/>
        <w:spacing w:before="0" w:beforeAutospacing="0" w:after="0" w:afterAutospacing="0" w:line="560" w:lineRule="exact"/>
        <w:ind w:left="0" w:right="25"/>
        <w:jc w:val="center"/>
        <w:rPr>
          <w:rFonts w:hint="default" w:ascii="Times New Roman" w:hAnsi="Times New Roman" w:eastAsia="仿宋_GB2312" w:cs="Times New Roman"/>
          <w:color w:val="000000"/>
          <w:w w:val="99"/>
          <w:kern w:val="0"/>
          <w:sz w:val="32"/>
          <w:szCs w:val="32"/>
        </w:rPr>
      </w:pPr>
      <w:r>
        <w:rPr>
          <w:rFonts w:hint="default" w:ascii="Times New Roman" w:hAnsi="Times New Roman" w:eastAsia="仿宋_GB2312" w:cs="Times New Roman"/>
          <w:color w:val="000000"/>
          <w:w w:val="99"/>
          <w:kern w:val="0"/>
          <w:sz w:val="32"/>
          <w:szCs w:val="32"/>
          <w:lang w:val="en-US" w:eastAsia="zh-CN" w:bidi="ar"/>
        </w:rPr>
        <w:t xml:space="preserve">2023年3月3日第六次修订 2024年9月9日第七次修订 </w:t>
      </w:r>
    </w:p>
    <w:p w14:paraId="73892BF6">
      <w:pPr>
        <w:keepNext w:val="0"/>
        <w:keepLines w:val="0"/>
        <w:widowControl w:val="0"/>
        <w:suppressLineNumbers w:val="0"/>
        <w:spacing w:before="0" w:beforeAutospacing="0" w:after="0" w:afterAutospacing="0" w:line="560" w:lineRule="exact"/>
        <w:ind w:left="0" w:right="25"/>
        <w:jc w:val="center"/>
        <w:rPr>
          <w:rFonts w:hint="default" w:ascii="Times New Roman" w:hAnsi="Times New Roman" w:eastAsia="仿宋_GB2312" w:cs="Times New Roman"/>
          <w:color w:val="000000"/>
          <w:w w:val="99"/>
          <w:kern w:val="0"/>
          <w:sz w:val="32"/>
          <w:szCs w:val="32"/>
        </w:rPr>
      </w:pPr>
      <w:r>
        <w:rPr>
          <w:rFonts w:hint="default" w:ascii="Times New Roman" w:hAnsi="Times New Roman" w:eastAsia="仿宋_GB2312" w:cs="Times New Roman"/>
          <w:color w:val="000000"/>
          <w:w w:val="99"/>
          <w:kern w:val="0"/>
          <w:sz w:val="32"/>
          <w:szCs w:val="32"/>
          <w:lang w:val="en-US" w:eastAsia="zh-CN" w:bidi="ar"/>
        </w:rPr>
        <w:t>2026年6月8日第八次修订）</w:t>
      </w:r>
    </w:p>
    <w:p w14:paraId="6078DEE8">
      <w:pPr>
        <w:keepNext w:val="0"/>
        <w:keepLines w:val="0"/>
        <w:widowControl w:val="0"/>
        <w:suppressLineNumbers w:val="0"/>
        <w:spacing w:before="0" w:beforeAutospacing="0" w:after="0" w:afterAutospacing="0" w:line="560" w:lineRule="exact"/>
        <w:ind w:left="0" w:right="0"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 xml:space="preserve"> </w:t>
      </w:r>
    </w:p>
    <w:p w14:paraId="7538201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14:paraId="38F5136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提示投资者注意，香港证券市场与内地证券市场存在诸多差异，投资者参与港股通交易需遵守内地与香港相关法律、行政法规、部门规章、规范性文件（以下统称法律法规）和业务规则，对香港证券市场有所了解；通过港股通参与香港证券市场交易与通过其他方式参与香港证券市场交易，也存在一定的差异。</w:t>
      </w:r>
    </w:p>
    <w:p w14:paraId="0806B2C5">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提示投资者注意，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14:paraId="6966F356">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提示投资者注意，港股通股票可能出现因公司基本面变化、第三方研究分析报告的观点、异常交易情形、做空机制等原因而引起股价较大波动的情形；部分港股通股票上市时间较短，且上市时自由流通股份较少，上市初期可能出现股价波动较大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限售股锁定期届满后大量减持以及其他原因而出现股价较大波动的情形；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14:paraId="32D4A9B4">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四、提示投资者注意，部分港股通股票可能存在大比例折价供股或配股、频繁分拆合并股份的行为，投资者持有的股份数量、股票面值可能发生大幅变化，投资者应关注可能产生的风险。</w:t>
      </w:r>
    </w:p>
    <w:p w14:paraId="09B6E5B8">
      <w:pPr>
        <w:keepNext w:val="0"/>
        <w:keepLines w:val="0"/>
        <w:widowControl w:val="0"/>
        <w:suppressLineNumbers w:val="0"/>
        <w:spacing w:before="0" w:beforeAutospacing="0" w:after="0" w:afterAutospacing="0" w:line="560" w:lineRule="exact"/>
        <w:ind w:left="0" w:right="0" w:firstLine="6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五、提示投资者注意，部分港股通上市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14:paraId="0E082B4E">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六、提示投资者注意，部分港股通生物科技公司、特专科技公司可能存在公开发行并上市时尚未有收入，上市后仍无收入、持续亏损、无法进行利润分配等情形，投资者应当关注可能产生的风险。</w:t>
      </w:r>
    </w:p>
    <w:p w14:paraId="1A849A41">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14:paraId="3952AE2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八、提示投资者注意，联交所市场证券停牌制度与内地证券市场相比存在一定差异，港股通标的证券可能出现长时间停牌现象，投资者应关注可能产生的风险。</w:t>
      </w:r>
    </w:p>
    <w:p w14:paraId="104C5A12">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九、提示投资者注意，联交所市场股票交易没有退市风险警示、退市整理等安排，与内地证券市场相比，相关股票存在直接退市的风险。港股通股票一旦从联交所市场退市，投资者将面临无法继续通过港股通买卖相关股票的风险。</w:t>
      </w:r>
    </w:p>
    <w:p w14:paraId="728FCA7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提示投资者注意，与内地证券市场相比，香港市场ETF终止上市或更换基金管理人等制度安排存在一定差异，港股通ETF可能因基金管理人主动退出香港市场导致终止上市或更换基金管理人，投资者应当关注可能产生的风险。</w:t>
      </w:r>
    </w:p>
    <w:p w14:paraId="146AD1C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一、提示投资者注意，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投资者应当关注可能产生的风险。</w:t>
      </w:r>
    </w:p>
    <w:p w14:paraId="1C80B0A4">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color w:val="000000"/>
          <w:kern w:val="2"/>
          <w:sz w:val="32"/>
          <w:szCs w:val="32"/>
          <w:lang w:val="en-US" w:eastAsia="zh-CN" w:bidi="ar"/>
        </w:rPr>
        <w:t>十二、提示投资者注意，与内地证券市场相比，香港市场ETF发生清盘，将基金资产变现所得的资金派发给投资者后，投资者证券账户中相应基金份额的注销日与清盘资金发放日之间可能间隔较长时间，对清盘后尚未注销的基金份额，投资者应审慎评估其价值。</w:t>
      </w:r>
    </w:p>
    <w:p w14:paraId="09B8B76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14:paraId="363690B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十四、提示投资者注意，沪港通交易日历优化正式实施后，只有沪港两地均为交易日的日期才为港股通交易日，具体以上海证券交易所（以下简称上交所）证券交易服务公司在其指定网站公布的日期为准。</w:t>
      </w:r>
    </w:p>
    <w:p w14:paraId="1A72FE0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十五、提示投资者注意，每个港股通交易日的交易时间包括开市前时段、持续交易时段和收市竞价交易时段，具体按联交所的规定执行。</w:t>
      </w:r>
    </w:p>
    <w:p w14:paraId="14123CA5">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圣诞前夕（12月24日）、元旦前夕（12月31日）或除夕日为港股通交易日的，港股通仅有半天交易，且当日为非交收日。</w:t>
      </w:r>
    </w:p>
    <w:p w14:paraId="329D20EA">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六、提示投资者注意，出现联交所认定的异常情况时，联交所将可能决定临时停市、暂停接受部分或者全部港股通交易申报等措施，投资者将面临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民事赔偿责任，但存在重大过错的除外。</w:t>
      </w:r>
    </w:p>
    <w:p w14:paraId="2E84016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七、提示投资者注意，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14:paraId="559369F0">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十八、提示投资者注意，投资者参与联交所自动对盘系统交易，在联交所开市前时段和收市竞价交易时段应当采用竞价限价盘委托，在联交所持续交易时段应当采用增强限价盘委托。</w:t>
      </w:r>
    </w:p>
    <w:p w14:paraId="57CC8FD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十九、提示投资者注意，投资者持有的碎股只能通过联交所半自动对盘碎股交易系统卖出。</w:t>
      </w:r>
    </w:p>
    <w:p w14:paraId="6EDFF0B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提示投资者注意，港股通股票、港股通有并行买卖的ETF实施分拆合并期间，港股通投资者持有的该证券只在临时代码单柜交易末日、临时代码与新代码并行交易末日由临时代码转换为新代码。由于临时代码与原代码交易单位不同而可能产生碎股，投资者应关注可能产生的风险。</w:t>
      </w:r>
    </w:p>
    <w:p w14:paraId="387F23F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一、提示投资者注意，港股通股票、港股通有并行买卖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14:paraId="713F8B3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二、提示投资者注意，沪港通交易日历优化正式实施后，在港股通股票、港股通ETF分拆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者ETF的港股通交易申报；上述业务在非对称节假日期间，港股通股票、港股通ETF取消分拆合并的，非对称节假日后第一个港股通交易日继续暂停接受该股票或者ETF的港股通交易申报，投资者应当关注因此可能产生的风险。</w:t>
      </w:r>
    </w:p>
    <w:p w14:paraId="3D60E5B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二十三、提示投资者注意，投资者当日买入的港股通标的证券，经确认成交后，在交收前即可卖出，投资者应当关注因此可能产生的风险。</w:t>
      </w:r>
    </w:p>
    <w:p w14:paraId="37EACBE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二十四、提示投资者注意，与内地证券市场相比，联交所在订单申报的最小交易价差、每手证券数量、申报最大限制等方面存在一定的差异，投资者应当关注因此可能产生的风险。</w:t>
      </w:r>
    </w:p>
    <w:p w14:paraId="5C639CB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二十五、提示投资者注意，港股通交易中若联交所与上交所证券交易服务公司之间的报盘系统或者通信链路出现故障，可能导致15分钟以上不能申报和撤销申报，投资者应当关注因此可能产生的风险。</w:t>
      </w:r>
    </w:p>
    <w:p w14:paraId="53139E6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二十六、提示投资者注意，港股通标的证券交易不设置涨跌幅限制，但根据联交所业务规则，适用市场波动调节机制的港股通标的证券的买卖申报可能受到价格限制，投资者应当关注因此可能产生的风险。</w:t>
      </w:r>
    </w:p>
    <w:p w14:paraId="5E1C15D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二十七、提示投资者注意，对于适用收市竞价交易的港股通标的证券，根据联交所业务规则，收市竞价交易时段的买卖申报将受到价格限制，投资者应当关注因此可能产生的风险。</w:t>
      </w:r>
    </w:p>
    <w:p w14:paraId="0B0F9F9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二十八、提示投资者注意，对于适用开市前时段的港股通标的证券，根据联交所业务规则，开市前时段的买卖申报将受到价格限制，投资者应当关注因此可能产生的风险。</w:t>
      </w:r>
    </w:p>
    <w:p w14:paraId="5B5DAEC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二十九、提示投资者注意，投资者通过港股通业务获得的香港证券市场免费一档行情，与付费方式获得的行情相比，在刷新频率、档位显示等方面存在差异，投资者应当关注依此进行投资决策的风险。</w:t>
      </w:r>
    </w:p>
    <w:p w14:paraId="5118B4C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14:paraId="3A5AFAB0">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一、提示投资者注意，投资者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14:paraId="2350BB95">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二、提示投资者注意，香港证券市场与内地证券市场在证券资金的交收期安排上存在差异，港股通交易的交收期为T+2日（只有沪港两地均为交收日的日期才为港股通交收日）。若投资者卖出证券，在交收完成前仍享有该证券的权益。若投资者买入证券，在交收完成后才享有该证券的权益。</w:t>
      </w:r>
    </w:p>
    <w:p w14:paraId="35E28E7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同时，港股通交易的交收可能因香港出现台风或黑色暴雨等发生延迟交收。</w:t>
      </w:r>
    </w:p>
    <w:p w14:paraId="356A3064">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三十三、提示投资者注意，投资者通过港股通业务暂不能参与新股发行认购、超额供股和超额公开配售，以及ETF发行认购和申购赎回。</w:t>
      </w:r>
    </w:p>
    <w:p w14:paraId="5C3A57A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四、提示投资者注意，沪港通交易日历优化正式实施后，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14:paraId="3D9964E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三十五、提示投资者注意，沪港通交易日历优化正式实施后，对于在联交所上市公司的供股业务，中国结算将在境内申报截止日日终确定投资者账户供股权的有效申报数量，并记减有效申报的供股权。</w:t>
      </w:r>
    </w:p>
    <w:p w14:paraId="7B61702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六、提示投资者注意，中国结算在收到香港结算派发的联交所上市公司现金红利或联交所上市ETF收益分配后，需要按规则对外币红利资金进行换汇、清算、代扣代缴税款、发放等业务处理，投资者通过港股通业务获得的现金红利将会较香港市场有所延后。部分港股通股票红利派发可能存在要求投资者申报相关信息的情形，请投资者及时关注上市公司官方公告或证券公司提示，并通过证券公司进行申报。</w:t>
      </w:r>
    </w:p>
    <w:p w14:paraId="2E3EFF0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七、提示投资者注意，对于在联交所上市公司派发的红股，中国结算在收到香港结算派发红股到账当日或次日进行业务处理，相应红股可于处理日下一港股通交易日上市交易。投资者红股可卖首日均较香港市场晚一个港股通交易日。</w:t>
      </w:r>
    </w:p>
    <w:p w14:paraId="66311D3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27B5F03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十九、提示投资者注意，对于投资者账户中因联交所上市公司派发红股、供股权、公开配售权以及港股通标的证券分拆、合并业务产生的小于1单位的零碎证券，中国结算进行舍尾处理。当香港结算发放的红股、供股权、公开配售权总数或分拆、合并证券数额大于投资者账户舍尾取整后的总数的，中国结算按照精确算法分配差额部分。</w:t>
      </w:r>
    </w:p>
    <w:p w14:paraId="796FF40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四十、提示投资者注意，由于香港市场的费用收取或汇率的大幅波动等原因，可能会引起投资者账户的透支，投资者应当对账户内的余额进行关注。</w:t>
      </w:r>
    </w:p>
    <w:p w14:paraId="28909AE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四十一、提示投资者注意，香港结算因极端情况下无法交付证券对中国结算实施现金结算的，中国结算将参照香港结算的处理原则进行相应业务处理。</w:t>
      </w:r>
    </w:p>
    <w:p w14:paraId="58843DE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14:paraId="31732B5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三、提示投资者注意，香港市场收费标准与内地市场收费标准不同，香港地区与内地在税收安排方面也存在差异，投资者买卖港股通标的证券，应当按照香港市场有关规定交纳相关费用，并按照香港地区相关规定缴纳税款。部分港股通股票可能根据上市公司注册地或主营业务经营所在地要求，存在其他税收安排。</w:t>
      </w:r>
    </w:p>
    <w:p w14:paraId="1FD098AA">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四、提示投资者注意，对于因上交所、中国结算制定、修改业务规则，或者根据业务规则履行自律监管职责等造成的损失，上交所和中国结算不承担责任；投资者还应当充分知晓并认可联交所、香港结算在其规则中规定的相关责任豁免条款，包括但不限于对因制定及修改业务规则、根据业务规则履行自律监管职责、发生或处置交易异常情况等导致的损失不承担责任的规定。</w:t>
      </w:r>
    </w:p>
    <w:p w14:paraId="3942ED1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四十五、除上述风险提示外，各证券公司还可以根据具体情况在自行制定的《上海证券交易所港股通交易风险揭示书》中对港股通交易存在的风险做进一步列举。</w:t>
      </w:r>
    </w:p>
    <w:p w14:paraId="28C06D11">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风险揭示书应以醒目的文字载明：</w:t>
      </w:r>
    </w:p>
    <w:p w14:paraId="20ED4D7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14:paraId="17497DA3">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各证券公司应要求每个投资者在《上海证券交易所港股通交易风险揭示书》上签字，确认已知晓并理解《上海证券交易所港股通交易风险揭示书》的全部内容，愿意承担港股通交易的风险和损失。</w:t>
      </w:r>
    </w:p>
    <w:p w14:paraId="01D2AD14">
      <w:pPr>
        <w:spacing w:line="560" w:lineRule="exact"/>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auto"/>
    <w:pitch w:val="default"/>
    <w:sig w:usb0="A00002BF" w:usb1="5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60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3C0C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63C0C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43C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CBE5363"/>
    <w:rsid w:val="7AD8CA21"/>
    <w:rsid w:val="7C7FEEE9"/>
    <w:rsid w:val="7DFF1069"/>
    <w:rsid w:val="7F3FE5CD"/>
    <w:rsid w:val="9CBE5363"/>
    <w:rsid w:val="DEE1CE0A"/>
    <w:rsid w:val="F5BFB034"/>
    <w:rsid w:val="FF293CD3"/>
    <w:rsid w:val="FFF6A250"/>
    <w:rsid w:val="FFFDFE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6010</Words>
  <Characters>6080</Characters>
  <Lines>1</Lines>
  <Paragraphs>1</Paragraphs>
  <TotalTime>11</TotalTime>
  <ScaleCrop>false</ScaleCrop>
  <LinksUpToDate>false</LinksUpToDate>
  <CharactersWithSpaces>6086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2026-05-23T17:20:00Z</dcterms:created>
  <dcterms:modified xsi:type="dcterms:W3CDTF">2026-06-05T14:38:33Z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E85E1AEF978AE5D1A728216A49FA15E6</vt:lpwstr>
  </property>
</Properties>
</file>