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bidi w:val="0"/>
        <w:spacing w:line="560" w:lineRule="exact"/>
        <w:ind w:left="0" w:leftChars="0" w:firstLine="0" w:firstLineChars="0"/>
        <w:jc w:val="both"/>
        <w:outlineLvl w:val="1"/>
        <w:rPr>
          <w:rFonts w:hint="default" w:ascii="黑体" w:hAnsi="黑体" w:eastAsia="黑体" w:cs="黑体"/>
          <w:color w:val="auto"/>
          <w:kern w:val="2"/>
          <w:sz w:val="32"/>
          <w:szCs w:val="24"/>
          <w:highlight w:val="none"/>
          <w:lang w:val="en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highlight w:val="none"/>
          <w:lang w:val="en-US" w:eastAsia="zh-CN" w:bidi="ar-SA"/>
        </w:rPr>
        <w:t>附件</w:t>
      </w:r>
      <w:r>
        <w:rPr>
          <w:rFonts w:hint="default" w:ascii="黑体" w:hAnsi="黑体" w:eastAsia="黑体" w:cs="黑体"/>
          <w:color w:val="auto"/>
          <w:kern w:val="2"/>
          <w:sz w:val="32"/>
          <w:szCs w:val="24"/>
          <w:highlight w:val="none"/>
          <w:lang w:val="en" w:eastAsia="zh-CN" w:bidi="ar-SA"/>
        </w:rPr>
        <w:t>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>
      <w:pPr>
        <w:pStyle w:val="2"/>
        <w:bidi w:val="0"/>
        <w:spacing w:line="560" w:lineRule="exact"/>
        <w:rPr>
          <w:rFonts w:hint="eastAsia"/>
          <w:color w:val="auto"/>
          <w:highlight w:val="none"/>
          <w:lang w:val="en-US" w:eastAsia="zh-CN"/>
        </w:rPr>
      </w:pPr>
      <w:bookmarkStart w:id="0" w:name="_GoBack"/>
      <w:r>
        <w:rPr>
          <w:rFonts w:hint="eastAsia"/>
          <w:color w:val="auto"/>
          <w:highlight w:val="none"/>
          <w:lang w:val="en-US" w:eastAsia="zh-CN"/>
        </w:rPr>
        <w:t>深圳市市级广告产业园区评估工作制度</w:t>
      </w:r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Style w:val="6"/>
          <w:rFonts w:hint="eastAsia"/>
          <w:color w:val="auto"/>
          <w:sz w:val="32"/>
          <w:highlight w:val="none"/>
          <w:lang w:val="en-US" w:eastAsia="zh-CN"/>
        </w:rPr>
        <w:t>第一条</w:t>
      </w: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 xml:space="preserve"> 为规范我市市级广告产业园区认定考核工作，根据国家市场监督管理总局、广东省市场监督管理局相关文件及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《深圳市市场监督管理局市级广告产业园区管理办法》</w:t>
      </w: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（以下简称《管理办法》），制定本制度。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Style w:val="6"/>
          <w:rFonts w:hint="eastAsia"/>
          <w:color w:val="auto"/>
          <w:sz w:val="32"/>
          <w:highlight w:val="none"/>
          <w:lang w:val="en-US" w:eastAsia="zh-CN"/>
        </w:rPr>
        <w:t>第二条</w:t>
      </w: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 xml:space="preserve"> 市市场监管局履行指导广告业发展职责，依照《管理办法》有关规定组织开展对市级广告产业园区的认定、考核评估工作。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Style w:val="6"/>
          <w:rFonts w:hint="eastAsia"/>
          <w:color w:val="auto"/>
          <w:sz w:val="32"/>
          <w:highlight w:val="none"/>
          <w:lang w:val="en-US" w:eastAsia="zh-CN"/>
        </w:rPr>
        <w:t>第三条</w:t>
      </w: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 xml:space="preserve"> 评估指标包括认定评估和考核评估。认定评估指标依据《管理办法》第八条规定，考核评估指标依据《管理办法》第十五条规定。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评估指标应当有利于客观评价广告产业园区发展水平，以及园区在促进我市广告产业发展、服务国家发展战略等方面的作用和潜力。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Style w:val="6"/>
          <w:rFonts w:hint="eastAsia"/>
          <w:color w:val="auto"/>
          <w:sz w:val="32"/>
          <w:highlight w:val="none"/>
          <w:lang w:val="en-US" w:eastAsia="zh-CN"/>
        </w:rPr>
        <w:t>第四条</w:t>
      </w: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 xml:space="preserve"> 市市场监管局根据园区申报或考核计划，制定工作方案，组建评估组，组织开展园区认定、考核评估。工作方案应当明确评估对象、专家组成、考核评估内容等。相关工作经费由市市场监管局承担。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</w:rPr>
      </w:pPr>
      <w:r>
        <w:rPr>
          <w:rStyle w:val="6"/>
          <w:rFonts w:hint="eastAsia"/>
          <w:color w:val="auto"/>
          <w:sz w:val="32"/>
          <w:highlight w:val="none"/>
          <w:lang w:val="en-US" w:eastAsia="zh-CN"/>
        </w:rPr>
        <w:t>第五条</w:t>
      </w: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 xml:space="preserve"> 认定或考核均应组建</w:t>
      </w:r>
      <w:r>
        <w:rPr>
          <w:rFonts w:hint="eastAsia" w:ascii="仿宋_GB2312" w:hAnsi="仿宋_GB2312" w:eastAsia="仿宋_GB2312" w:cs="Times New Roman"/>
          <w:color w:val="auto"/>
          <w:sz w:val="32"/>
          <w:highlight w:val="none"/>
        </w:rPr>
        <w:t>评估组</w:t>
      </w: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Times New Roman"/>
          <w:color w:val="auto"/>
          <w:sz w:val="32"/>
          <w:highlight w:val="none"/>
        </w:rPr>
        <w:t>成员不少于</w:t>
      </w: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Times New Roman"/>
          <w:color w:val="auto"/>
          <w:sz w:val="32"/>
          <w:highlight w:val="none"/>
        </w:rPr>
        <w:t>人，由</w:t>
      </w: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市</w:t>
      </w:r>
      <w:r>
        <w:rPr>
          <w:rFonts w:hint="eastAsia" w:ascii="仿宋_GB2312" w:hAnsi="仿宋_GB2312" w:eastAsia="仿宋_GB2312" w:cs="Times New Roman"/>
          <w:color w:val="auto"/>
          <w:sz w:val="32"/>
          <w:highlight w:val="none"/>
        </w:rPr>
        <w:t>市场</w:t>
      </w: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eastAsia="zh-CN"/>
        </w:rPr>
        <w:t>监管</w:t>
      </w:r>
      <w:r>
        <w:rPr>
          <w:rFonts w:hint="eastAsia" w:ascii="仿宋_GB2312" w:hAnsi="仿宋_GB2312" w:eastAsia="仿宋_GB2312" w:cs="Times New Roman"/>
          <w:color w:val="auto"/>
          <w:sz w:val="32"/>
          <w:highlight w:val="none"/>
        </w:rPr>
        <w:t>局邀请相关部门、社会组织、广告业及关联行业专家和学</w:t>
      </w: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eastAsia="zh-CN"/>
        </w:rPr>
        <w:t>者</w:t>
      </w:r>
      <w:r>
        <w:rPr>
          <w:rFonts w:hint="eastAsia" w:ascii="仿宋_GB2312" w:hAnsi="仿宋_GB2312" w:eastAsia="仿宋_GB2312" w:cs="Times New Roman"/>
          <w:color w:val="auto"/>
          <w:sz w:val="32"/>
          <w:highlight w:val="none"/>
        </w:rPr>
        <w:t>组成，</w:t>
      </w: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eastAsia="zh-CN"/>
        </w:rPr>
        <w:t>且</w:t>
      </w:r>
      <w:r>
        <w:rPr>
          <w:rFonts w:hint="eastAsia" w:ascii="仿宋_GB2312" w:hAnsi="仿宋_GB2312" w:eastAsia="仿宋_GB2312" w:cs="Times New Roman"/>
          <w:color w:val="auto"/>
          <w:sz w:val="32"/>
          <w:highlight w:val="none"/>
        </w:rPr>
        <w:t>范围不限于</w:t>
      </w: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本市</w:t>
      </w: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Times New Roman"/>
          <w:color w:val="auto"/>
          <w:sz w:val="32"/>
          <w:highlight w:val="none"/>
        </w:rPr>
        <w:t>与评估对象有利害关系的专家在相应园区评估工作中应当提出回避</w:t>
      </w: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eastAsia="zh-CN"/>
        </w:rPr>
        <w:t>；评估对象认为专家与园区有利害关系的，可以向评估组提出回避申请并说明理由，评估组应及时询问被申请回避专家，有利害关系的专家应当回避。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Style w:val="6"/>
          <w:rFonts w:hint="eastAsia"/>
          <w:color w:val="auto"/>
          <w:sz w:val="32"/>
          <w:highlight w:val="none"/>
          <w:lang w:val="en-US" w:eastAsia="zh-CN"/>
        </w:rPr>
        <w:t>第六条</w:t>
      </w: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 xml:space="preserve"> 评估组应对照评估指标对评估对象开展评估，认真审阅园区申报材料并开展实地考察，通过听取情况介绍、查阅文件资料、走访园区有关机构和具有代表性的企、事业单位、召开座谈会、发放调查问卷、个别谈话等多种形式，客观全面了解园区建设和运营情况。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Style w:val="6"/>
          <w:rFonts w:hint="eastAsia"/>
          <w:color w:val="auto"/>
          <w:sz w:val="32"/>
          <w:highlight w:val="none"/>
          <w:lang w:val="en-US" w:eastAsia="zh-CN"/>
        </w:rPr>
        <w:t>第七条</w:t>
      </w: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 xml:space="preserve"> 评估组应出具评估意见，书面报市市场监管局。市市场监管局按照《管理办法》规定，经市市场监管局局长办公会议审定后，将认定或考核结果书面通知园区及园区所在地区市场监管部门。</w:t>
      </w:r>
    </w:p>
    <w:p>
      <w:pPr>
        <w:spacing w:line="240" w:lineRule="auto"/>
        <w:ind w:firstLine="0" w:firstLineChars="0"/>
        <w:rPr>
          <w:rFonts w:hint="eastAsia" w:ascii="Calibri" w:hAnsi="Calibri" w:eastAsia="宋体" w:cs="Times New Roman"/>
          <w:color w:val="auto"/>
          <w:sz w:val="21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D8BE2"/>
    <w:rsid w:val="77ED8BE2"/>
    <w:rsid w:val="7DFB5885"/>
    <w:rsid w:val="E3EF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</w:rPr>
  </w:style>
  <w:style w:type="paragraph" w:styleId="3">
    <w:name w:val="heading 2"/>
    <w:basedOn w:val="1"/>
    <w:next w:val="1"/>
    <w:link w:val="6"/>
    <w:unhideWhenUsed/>
    <w:qFormat/>
    <w:uiPriority w:val="0"/>
    <w:pPr>
      <w:outlineLvl w:val="1"/>
    </w:pPr>
    <w:rPr>
      <w:rFonts w:ascii="黑体" w:hAnsi="黑体" w:eastAsia="黑体" w:cs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黑体" w:hAnsi="黑体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2026-05-15T17:40:00Z</dcterms:created>
  <dc:creator>LINXF3</dc:creator>
  <cp:lastModifiedBy>LINXF3</cp:lastModifiedBy>
  <dcterms:modified xsi:type="dcterms:W3CDTF">2026-05-15T19:14:07Z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