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0"/>
        <w:spacing w:line="560" w:lineRule="exact"/>
        <w:ind w:left="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附件4</w:t>
      </w:r>
    </w:p>
    <w:p>
      <w:pPr>
        <w:pStyle w:val="30"/>
        <w:spacing w:line="560" w:lineRule="exact"/>
        <w:ind w:left="0"/>
        <w:rPr>
          <w:rFonts w:ascii="方正黑体_GBK" w:eastAsia="方正黑体_GBK" w:hint="eastAsia"/>
        </w:rPr>
      </w:pPr>
    </w:p>
    <w:p>
      <w:pPr>
        <w:pStyle w:val="30"/>
        <w:spacing w:line="560" w:lineRule="exact"/>
        <w:jc w:val="center"/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</w:pPr>
      <w:r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  <w:t>进境水果指定监管场地设置要求</w:t>
      </w:r>
    </w:p>
    <w:p>
      <w:pPr>
        <w:pStyle w:val="30"/>
        <w:spacing w:line="560" w:lineRule="exact"/>
      </w:pPr>
    </w:p>
    <w:p>
      <w:pPr>
        <w:pStyle w:val="17"/>
        <w:wordWrap w:val="0"/>
        <w:topLinePunct/>
        <w:adjustRightInd w:val="0"/>
        <w:snapToGrid w:val="0"/>
        <w:spacing w:before="0" w:after="0" w:line="560" w:lineRule="exact"/>
        <w:ind w:firstLineChars="200" w:firstLine="640"/>
        <w:jc w:val="both"/>
        <w:rPr>
          <w:rFonts w:eastAsia="方正黑体_GBK" w:cs="Times New Roman"/>
          <w:bCs/>
          <w:sz w:val="32"/>
          <w:szCs w:val="32"/>
        </w:rPr>
      </w:pPr>
      <w:r>
        <w:rPr>
          <w:rFonts w:eastAsia="方正黑体_GBK" w:cs="Times New Roman" w:hint="eastAsia"/>
          <w:bCs/>
          <w:sz w:val="32"/>
          <w:szCs w:val="32"/>
          <w:lang w:val="en-US" w:eastAsia="zh-CN"/>
        </w:rPr>
        <w:t>一、</w:t>
      </w:r>
      <w:r>
        <w:rPr>
          <w:rFonts w:eastAsia="方正黑体_GBK" w:cs="Times New Roman" w:hint="eastAsia"/>
          <w:bCs/>
          <w:sz w:val="32"/>
          <w:szCs w:val="32"/>
        </w:rPr>
        <w:t>总体要求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bCs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eastAsia="zh-CN"/>
        </w:rPr>
        <w:t>（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val="en-US" w:eastAsia="zh-CN"/>
        </w:rPr>
        <w:t>一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eastAsia="zh-CN"/>
        </w:rPr>
        <w:t>）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环境条件。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场地独立封闭，地面平整、硬化、无病媒生物孳生地，配备防鼠防虫设施；供排水、供电、照明、安全防护、消防设施齐全，并符合相关要求；</w:t>
      </w:r>
      <w:r>
        <w:rPr>
          <w:rFonts w:ascii="Times New Roman" w:eastAsia="方正仿宋_GBK" w:cs="Times New Roman" w:hAnsi="Times New Roman" w:hint="eastAsia"/>
          <w:b w:val="0"/>
          <w:bCs/>
          <w:sz w:val="32"/>
          <w:szCs w:val="32"/>
          <w:lang w:val="en-US" w:eastAsia="zh-CN"/>
        </w:rPr>
        <w:t>区域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布局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合理</w:t>
      </w:r>
      <w:r>
        <w:rPr>
          <w:rFonts w:ascii="Times New Roman" w:eastAsia="方正仿宋_GBK" w:cs="Times New Roman" w:hAnsi="Times New Roman"/>
          <w:bCs/>
          <w:sz w:val="32"/>
          <w:szCs w:val="32"/>
          <w:lang w:eastAsia="zh-CN"/>
        </w:rPr>
        <w:t>，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面积、物流运输满足进境水果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检查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需求；场地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周边5公里范围内没有果园。</w:t>
      </w:r>
    </w:p>
    <w:p>
      <w:pPr>
        <w:pStyle w:val="48"/>
        <w:wordWrap w:val="0"/>
        <w:topLinePunct/>
        <w:adjustRightInd w:val="0"/>
        <w:snapToGrid w:val="0"/>
        <w:spacing w:line="560" w:lineRule="exact"/>
        <w:ind w:left="0" w:rightChars="50" w:right="105"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eastAsia="zh-CN"/>
        </w:rPr>
        <w:t>（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val="en-US" w:eastAsia="zh-CN"/>
        </w:rPr>
        <w:t>二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eastAsia="zh-CN"/>
        </w:rPr>
        <w:t>）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监控设施。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摄像头监控范围应覆盖</w:t>
      </w:r>
      <w:r>
        <w:rPr>
          <w:rFonts w:ascii="Times New Roman" w:eastAsia="方正仿宋_GBK" w:cs="Times New Roman" w:hAnsi="Times New Roman"/>
          <w:sz w:val="32"/>
          <w:szCs w:val="32"/>
        </w:rPr>
        <w:t>检查作业区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、监管冷库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（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暂存库、扣检库、冷处理库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）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、技术用房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（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鉴定室、养虫室、样品存放室等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）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、不合格木质包装存放、破果烂果收集、检疫处理等关键区域。</w:t>
      </w:r>
      <w:r>
        <w:rPr>
          <w:rFonts w:ascii="Times New Roman" w:eastAsia="方正仿宋_GBK" w:cs="Times New Roman" w:hAnsi="Times New Roman"/>
          <w:sz w:val="32"/>
          <w:szCs w:val="32"/>
        </w:rPr>
        <w:t>检查作业区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两端或居中的高点位置安装云台摄像头，满足对区域全景及场地内监管秩序的全方位监控需求；实施</w:t>
      </w:r>
      <w:r>
        <w:rPr>
          <w:rFonts w:ascii="Times New Roman" w:eastAsia="方正仿宋_GBK" w:cs="Times New Roman" w:hAnsi="Times New Roman"/>
          <w:sz w:val="32"/>
          <w:szCs w:val="32"/>
        </w:rPr>
        <w:t>检查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作业的区域和</w:t>
      </w:r>
      <w:r>
        <w:rPr>
          <w:rFonts w:ascii="Times New Roman" w:eastAsia="方正仿宋_GBK" w:cs="Times New Roman" w:hAnsi="Times New Roman"/>
          <w:sz w:val="32"/>
          <w:szCs w:val="32"/>
        </w:rPr>
        <w:t>检查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位摄像头视角应能监控</w:t>
      </w:r>
      <w:r>
        <w:rPr>
          <w:rFonts w:ascii="Times New Roman" w:eastAsia="方正仿宋_GBK" w:cs="Times New Roman" w:hAnsi="Times New Roman"/>
          <w:sz w:val="32"/>
          <w:szCs w:val="32"/>
        </w:rPr>
        <w:t>检查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货物的堆存情况、产品外观情况、对应停靠点停放集装箱/箱式货车的箱/车底情况以及</w:t>
      </w:r>
      <w:r>
        <w:rPr>
          <w:rFonts w:ascii="Times New Roman" w:eastAsia="方正仿宋_GBK" w:cs="Times New Roman" w:hAnsi="Times New Roman"/>
          <w:sz w:val="32"/>
          <w:szCs w:val="32"/>
        </w:rPr>
        <w:t>检查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作业全过程；暂不予放行货物储存库出入口应安装摄像头，满足对货物和人员进出库情况进行监控的要求，四角应安装云台摄像头，满足对库存货物堆存情况的监控要求；技术用房出入口应安装摄像头，满足对人员出入情况进行监控的要求。满足2</w:t>
      </w:r>
      <w:r>
        <w:rPr>
          <w:rFonts w:ascii="Times New Roman" w:eastAsia="方正仿宋_GBK" w:cs="Times New Roman" w:hAnsi="Times New Roman"/>
          <w:sz w:val="32"/>
          <w:szCs w:val="32"/>
        </w:rPr>
        <w:t>4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小时监控需要，视频监控系统与海关联网，视频存储时间不少于3个月。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eastAsia="zh-CN"/>
        </w:rPr>
        <w:t>（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val="en-US" w:eastAsia="zh-CN"/>
        </w:rPr>
        <w:t>三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eastAsia="zh-CN"/>
        </w:rPr>
        <w:t>）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管理制度。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场地经营单位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建立进境水果相关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防疫、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安全卫生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等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管理制度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eastAsia="zh-CN"/>
        </w:rPr>
        <w:t>，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纳入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场地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经营单位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质量管理体系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并有效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运行。</w:t>
      </w:r>
      <w:r>
        <w:rPr>
          <w:rFonts w:eastAsia="方正仿宋_GBK" w:hint="eastAsia"/>
          <w:sz w:val="32"/>
          <w:szCs w:val="32"/>
        </w:rPr>
        <w:t>成立防疫安全领导小组，</w:t>
      </w:r>
      <w:r>
        <w:rPr>
          <w:rFonts w:ascii="Times New Roman" w:eastAsia="方正仿宋_GBK" w:hAnsi="Times New Roman" w:hint="eastAsia"/>
          <w:sz w:val="32"/>
          <w:szCs w:val="32"/>
        </w:rPr>
        <w:t>配备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植物疫情防控相关岗位人员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cs="方正楷体_GBK" w:hAnsi="Times New Roman" w:hint="eastAsia"/>
          <w:b/>
          <w:sz w:val="32"/>
          <w:szCs w:val="32"/>
          <w:lang w:eastAsia="zh-CN"/>
        </w:rPr>
        <w:t>（</w:t>
      </w:r>
      <w:r>
        <w:rPr>
          <w:rFonts w:ascii="Times New Roman" w:eastAsia="方正楷体_GBK" w:cs="方正楷体_GBK" w:hAnsi="Times New Roman" w:hint="eastAsia"/>
          <w:b/>
          <w:sz w:val="32"/>
          <w:szCs w:val="32"/>
          <w:lang w:val="en-US" w:eastAsia="zh-CN"/>
        </w:rPr>
        <w:t>四</w:t>
      </w:r>
      <w:r>
        <w:rPr>
          <w:rFonts w:ascii="Times New Roman" w:eastAsia="方正楷体_GBK" w:cs="方正楷体_GBK" w:hAnsi="Times New Roman" w:hint="eastAsia"/>
          <w:b/>
          <w:sz w:val="32"/>
          <w:szCs w:val="32"/>
          <w:lang w:eastAsia="zh-CN"/>
        </w:rPr>
        <w:t>）</w:t>
      </w:r>
      <w:r>
        <w:rPr>
          <w:rFonts w:ascii="Times New Roman" w:eastAsia="方正楷体_GBK" w:cs="方正楷体_GBK" w:hAnsi="Times New Roman" w:hint="eastAsia"/>
          <w:b/>
          <w:bCs/>
          <w:sz w:val="32"/>
          <w:szCs w:val="32"/>
        </w:rPr>
        <w:t>工作机制</w:t>
      </w:r>
      <w:r>
        <w:rPr>
          <w:rFonts w:ascii="Times New Roman" w:eastAsia="方正楷体_GBK" w:cs="方正楷体_GBK" w:hAnsi="Times New Roman" w:hint="eastAsia"/>
          <w:b/>
          <w:sz w:val="32"/>
          <w:szCs w:val="32"/>
        </w:rPr>
        <w:t>。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bidi="ar-SA"/>
        </w:rPr>
        <w:t>所在地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县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（区）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级及以上地方政府主管部门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 w:bidi="ar-SA"/>
        </w:rPr>
        <w:t>牵头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建立国门生物安全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和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食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品安全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统筹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保障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、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植物疫情</w:t>
      </w:r>
      <w:r>
        <w:rPr>
          <w:rFonts w:ascii="Times New Roman" w:eastAsia="方正仿宋_GBK" w:cs="方正仿宋_GBK" w:hAnsi="Times New Roman" w:hint="eastAsia"/>
          <w:bCs/>
          <w:sz w:val="32"/>
          <w:szCs w:val="32"/>
        </w:rPr>
        <w:t>风险联防联控</w:t>
      </w:r>
      <w:r>
        <w:rPr>
          <w:rFonts w:ascii="Times New Roman" w:eastAsia="方正仿宋_GBK" w:cs="方正仿宋_GBK" w:hAnsi="Times New Roman"/>
          <w:bCs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sz w:val="32"/>
          <w:szCs w:val="32"/>
        </w:rPr>
        <w:t>突发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事件</w:t>
      </w:r>
      <w:r>
        <w:rPr>
          <w:rFonts w:ascii="Times New Roman" w:eastAsia="方正仿宋_GBK" w:cs="方正仿宋_GBK" w:hAnsi="Times New Roman" w:hint="eastAsia"/>
          <w:bCs/>
          <w:sz w:val="32"/>
          <w:szCs w:val="32"/>
        </w:rPr>
        <w:t>应急处</w:t>
      </w:r>
      <w:r>
        <w:rPr>
          <w:rFonts w:ascii="Times New Roman" w:eastAsia="方正仿宋_GBK" w:cs="方正仿宋_GBK" w:hAnsi="Times New Roman" w:hint="eastAsia"/>
          <w:bCs/>
          <w:sz w:val="32"/>
          <w:szCs w:val="32"/>
          <w:lang w:val="en-US" w:eastAsia="zh-CN"/>
        </w:rPr>
        <w:t>置</w:t>
      </w:r>
      <w:r>
        <w:rPr>
          <w:rFonts w:ascii="Times New Roman" w:eastAsia="方正仿宋_GBK" w:cs="方正仿宋_GBK" w:hAnsi="Times New Roman"/>
          <w:bCs/>
          <w:sz w:val="32"/>
          <w:szCs w:val="32"/>
          <w:lang w:val="en-US" w:eastAsia="zh-CN"/>
        </w:rPr>
        <w:t>等</w:t>
      </w:r>
      <w:r>
        <w:rPr>
          <w:rFonts w:ascii="Times New Roman" w:eastAsia="方正仿宋_GBK" w:cs="方正仿宋_GBK" w:hAnsi="Times New Roman" w:hint="eastAsia"/>
          <w:bCs/>
          <w:sz w:val="32"/>
          <w:szCs w:val="32"/>
        </w:rPr>
        <w:t>工作机制。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left="0" w:firstLineChars="200" w:firstLine="640"/>
        <w:rPr>
          <w:rFonts w:ascii="Times New Roman" w:eastAsia="方正黑体_GBK" w:cs="Times New Roman" w:hAnsi="Times New Roman"/>
          <w:bCs/>
          <w:sz w:val="32"/>
          <w:szCs w:val="32"/>
        </w:rPr>
      </w:pPr>
      <w:r>
        <w:rPr>
          <w:rFonts w:ascii="Times New Roman" w:eastAsia="方正黑体_GBK" w:cs="Times New Roman" w:hAnsi="Times New Roman" w:hint="eastAsia"/>
          <w:bCs/>
          <w:sz w:val="32"/>
          <w:szCs w:val="32"/>
          <w:lang w:val="en-US" w:eastAsia="zh-CN"/>
        </w:rPr>
        <w:t>二、</w:t>
      </w:r>
      <w:r>
        <w:rPr>
          <w:rFonts w:ascii="Times New Roman" w:eastAsia="方正黑体_GBK" w:cs="Times New Roman" w:hAnsi="Times New Roman"/>
          <w:bCs/>
          <w:sz w:val="32"/>
          <w:szCs w:val="32"/>
        </w:rPr>
        <w:t>检查作业</w:t>
      </w:r>
      <w:r>
        <w:rPr>
          <w:rFonts w:ascii="Times New Roman" w:eastAsia="方正黑体_GBK" w:cs="Times New Roman" w:hAnsi="Times New Roman" w:hint="eastAsia"/>
          <w:bCs/>
          <w:sz w:val="32"/>
          <w:szCs w:val="32"/>
        </w:rPr>
        <w:t>区条件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cs="Times New Roman" w:hAnsi="Times New Roman"/>
          <w:bCs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（一）功能区。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场地经营单位应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提供具备网络通讯、取暖降温、休息卫生等条件的海关备勤、办公场所。供电供水、排水设施齐全，具备防水、防洪等安全防护条件。设有</w:t>
      </w:r>
      <w:r>
        <w:rPr>
          <w:rFonts w:ascii="Times New Roman" w:eastAsia="方正仿宋_GBK" w:cs="Times New Roman" w:hAnsi="Times New Roman"/>
          <w:b w:val="0"/>
          <w:bCs/>
          <w:sz w:val="32"/>
          <w:szCs w:val="32"/>
          <w:lang w:val="en-US" w:eastAsia="zh-CN"/>
        </w:rPr>
        <w:t>进境水果检查、暂存、扣检、处理等区域布局合理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eastAsia="zh-CN"/>
        </w:rPr>
        <w:t>。</w:t>
      </w:r>
      <w:r>
        <w:rPr>
          <w:rFonts w:ascii="Times New Roman" w:eastAsia="方正仿宋_GBK" w:cs="Times New Roman" w:hAnsi="Times New Roman"/>
          <w:b w:val="0"/>
          <w:bCs/>
          <w:sz w:val="32"/>
          <w:szCs w:val="32"/>
          <w:lang w:val="en-US" w:eastAsia="zh-CN"/>
        </w:rPr>
        <w:t>场地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面积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满足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现场监管需要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eastAsia="zh-CN"/>
        </w:rPr>
        <w:t>，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水果由集装箱、箱式货车装运的，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应当建设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可同时停靠3辆以上集装箱卡车，并能进行叉车掏箱作业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的水果现场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检查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专用平台</w:t>
      </w:r>
      <w:r>
        <w:rPr>
          <w:rFonts w:ascii="Times New Roman" w:eastAsia="方正仿宋_GBK" w:cs="Times New Roman" w:hAnsi="Times New Roman"/>
          <w:bCs/>
          <w:sz w:val="32"/>
          <w:szCs w:val="32"/>
          <w:lang w:eastAsia="zh-CN"/>
        </w:rPr>
        <w:t>；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有独立的监管冷库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和冷处理库，监管冷库如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满足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冷处理要求，也可作为冷处理库。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cs="Times New Roman" w:hAnsi="Times New Roman"/>
          <w:bCs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（二）防疫设施。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开箱检查现场配备防止有害生物逃逸的设施，开箱检查环境相对封闭。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配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备</w:t>
      </w:r>
      <w:r>
        <w:rPr>
          <w:rFonts w:ascii="Times New Roman" w:eastAsia="方正仿宋_GBK" w:cs="Times New Roman" w:hAnsi="Times New Roman"/>
          <w:sz w:val="32"/>
          <w:szCs w:val="32"/>
        </w:rPr>
        <w:t>开展植物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疫情监测、防除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等必要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的</w:t>
      </w:r>
      <w:r>
        <w:rPr>
          <w:rFonts w:ascii="Times New Roman" w:eastAsia="方正仿宋_GBK" w:cs="Times New Roman" w:hAnsi="Times New Roman"/>
          <w:sz w:val="32"/>
          <w:szCs w:val="32"/>
        </w:rPr>
        <w:t>防疫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设施设备，配有常用的杀虫、杀菌、消毒等药剂和器械，并专库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专柜保存。</w:t>
      </w:r>
    </w:p>
    <w:p>
      <w:pPr>
        <w:pStyle w:val="56"/>
        <w:wordWrap w:val="0"/>
        <w:topLinePunct/>
        <w:adjustRightInd w:val="0"/>
        <w:snapToGrid w:val="0"/>
        <w:spacing w:line="560" w:lineRule="exact"/>
        <w:ind w:rightChars="50" w:right="105" w:firstLineChars="200" w:firstLine="640"/>
        <w:jc w:val="left"/>
        <w:rPr>
          <w:rFonts w:ascii="Times New Roman" w:eastAsia="方正仿宋_GBK" w:cs="Times New Roman" w:hAnsi="Times New Roman"/>
          <w:bCs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（三）</w:t>
      </w:r>
      <w:r>
        <w:rPr>
          <w:rFonts w:ascii="Times New Roman" w:eastAsia="方正楷体_GBK" w:cs="Times New Roman" w:hAnsi="Times New Roman"/>
          <w:b/>
          <w:bCs/>
          <w:sz w:val="32"/>
          <w:szCs w:val="32"/>
        </w:rPr>
        <w:t>检查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设施。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建立符合海关网络安全要求的机房或机柜，并且建立满足海关对货物检查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、远程监控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等工作要求的无线网络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。配置满足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检验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检疫需要的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检查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、取样设施设备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和器具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、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技术用房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等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eastAsia="zh-CN"/>
        </w:rPr>
        <w:t>；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集装箱起落装卸设备和电源插座（空港除外）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eastAsia="zh-CN"/>
        </w:rPr>
        <w:t>；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集中收集破果、烂果的密闭设施设备。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left="0" w:firstLineChars="200" w:firstLine="640"/>
        <w:rPr>
          <w:rFonts w:ascii="Times New Roman" w:eastAsia="方正黑体_GBK" w:cs="Times New Roman" w:hAnsi="Times New Roman"/>
          <w:bCs/>
          <w:sz w:val="32"/>
          <w:szCs w:val="32"/>
        </w:rPr>
      </w:pPr>
      <w:r>
        <w:rPr>
          <w:rFonts w:ascii="Times New Roman" w:eastAsia="方正黑体_GBK" w:cs="Times New Roman" w:hAnsi="Times New Roman" w:hint="eastAsia"/>
          <w:bCs/>
          <w:sz w:val="32"/>
          <w:szCs w:val="32"/>
          <w:lang w:val="en-US" w:eastAsia="zh-CN"/>
        </w:rPr>
        <w:t>三、</w:t>
      </w:r>
      <w:r>
        <w:rPr>
          <w:rFonts w:ascii="Times New Roman" w:eastAsia="方正黑体_GBK" w:cs="Times New Roman" w:hAnsi="Times New Roman" w:hint="eastAsia"/>
          <w:bCs/>
          <w:sz w:val="32"/>
          <w:szCs w:val="32"/>
        </w:rPr>
        <w:t>检疫处理条件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cs="Times New Roman" w:hAnsi="Times New Roman"/>
        </w:rPr>
      </w:pP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根据海关监管需要，设置检疫处理区；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具备满足水果除害处理需求的熏蒸库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eastAsia="zh-CN"/>
        </w:rPr>
        <w:t>、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冷处理库或其他检疫处理设施。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bCs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（一）熏蒸处理。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具有固定的符合安全作业要求的熏蒸除害处理设施。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楷体_GBK" w:cs="Times New Roman" w:hAnsi="Times New Roman"/>
          <w:b/>
          <w:bCs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（二）冷处理。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具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有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符合相关标准的冷处理库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，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配备足够数量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eastAsia="zh-CN"/>
        </w:rPr>
        <w:t>、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不同规格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的果温探针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cs="Times New Roman" w:hAnsi="Times New Roman" w:hint="eastAsia"/>
          <w:bCs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（三）销毁或其他处理。</w:t>
      </w:r>
      <w:r>
        <w:rPr>
          <w:rFonts w:ascii="方正仿宋_GBK" w:eastAsia="方正仿宋_GBK" w:cs="Times New Roman" w:hint="eastAsia"/>
          <w:kern w:val="2"/>
          <w:sz w:val="32"/>
          <w:szCs w:val="32"/>
        </w:rPr>
        <w:t>配备销毁设施或其他无害化处理设施，或委托其他有能力的单位开展处理。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黑体_GBK" w:cs="Times New Roman" w:hAnsi="Times New Roman" w:hint="eastAsia"/>
          <w:bCs/>
          <w:sz w:val="32"/>
          <w:szCs w:val="32"/>
        </w:rPr>
        <w:t>四、监管和检测能力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bCs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eastAsia="zh-CN"/>
        </w:rPr>
        <w:t>（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val="en-US" w:eastAsia="zh-CN"/>
        </w:rPr>
        <w:t>一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  <w:lang w:eastAsia="zh-CN"/>
        </w:rPr>
        <w:t>）</w:t>
      </w:r>
      <w:r>
        <w:rPr>
          <w:rFonts w:ascii="Times New Roman" w:eastAsia="方正楷体_GBK" w:cs="Times New Roman" w:hAnsi="Times New Roman"/>
          <w:b/>
          <w:bCs/>
          <w:sz w:val="32"/>
          <w:szCs w:val="32"/>
        </w:rPr>
        <w:t>检查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人员。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主管海关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应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配备与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进境量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相适应的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海关监管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人员，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具备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植物现场检疫专家资质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的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人员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应不少于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3人，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具备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签证植物检疫官资质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的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人员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应不少于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1人。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（</w:t>
      </w:r>
      <w:r>
        <w:rPr>
          <w:rFonts w:ascii="Times New Roman" w:eastAsia="方正楷体_GBK" w:cs="Times New Roman" w:hAnsi="Times New Roman"/>
          <w:b/>
          <w:bCs/>
          <w:sz w:val="32"/>
          <w:szCs w:val="32"/>
        </w:rPr>
        <w:t>二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）检测人员。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植物检疫实验室</w:t>
      </w:r>
      <w:r>
        <w:rPr>
          <w:rFonts w:ascii="Times New Roman" w:eastAsia="方正仿宋_GBK" w:cs="Times New Roman" w:hAnsi="Times New Roman"/>
          <w:sz w:val="32"/>
          <w:szCs w:val="32"/>
        </w:rPr>
        <w:t>、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安全卫生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和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转基因项目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检测实验室的</w:t>
      </w:r>
      <w:r>
        <w:rPr>
          <w:rFonts w:ascii="Times New Roman" w:eastAsia="方正仿宋_GBK" w:cs="Times New Roman" w:hAnsi="Times New Roman"/>
          <w:sz w:val="32"/>
          <w:szCs w:val="32"/>
        </w:rPr>
        <w:t>技术人员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均应不少于3人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。</w:t>
      </w:r>
    </w:p>
    <w:p>
      <w:pPr>
        <w:pStyle w:val="19"/>
        <w:wordWrap w:val="0"/>
        <w:topLinePunct/>
        <w:adjustRightInd w:val="0"/>
        <w:snapToGrid w:val="0"/>
        <w:spacing w:line="560" w:lineRule="exact"/>
        <w:ind w:firstLineChars="200" w:firstLine="640"/>
      </w:pP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（</w:t>
      </w:r>
      <w:r>
        <w:rPr>
          <w:rFonts w:ascii="Times New Roman" w:eastAsia="方正楷体_GBK" w:cs="Times New Roman" w:hAnsi="Times New Roman"/>
          <w:b/>
          <w:bCs/>
          <w:sz w:val="32"/>
          <w:szCs w:val="32"/>
        </w:rPr>
        <w:t>三</w:t>
      </w:r>
      <w:r>
        <w:rPr>
          <w:rFonts w:ascii="Times New Roman" w:eastAsia="方正楷体_GBK" w:cs="Times New Roman" w:hAnsi="Times New Roman" w:hint="eastAsia"/>
          <w:b/>
          <w:bCs/>
          <w:sz w:val="32"/>
          <w:szCs w:val="32"/>
        </w:rPr>
        <w:t>）检测能力。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在距离指定监管场地2小时车程或200公里以内，建有配套的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进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境水果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安全卫生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和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转基因项目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检测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实验室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，以及植物检疫实验室或初筛鉴定室。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特殊情况下，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由直属海关建立快速送样保障机制，在确保通关效率的前提下，可依托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距离指定监管场地2小时车程或200公里以外的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海关技术机构保障检测能力。</w:t>
      </w:r>
    </w:p>
    <w:p>
      <w:pPr>
        <w:adjustRightInd w:val="0"/>
        <w:snapToGrid w:val="0"/>
        <w:spacing w:line="560" w:lineRule="exact"/>
        <w:rPr>
          <w:rFonts w:ascii="Times New Roman" w:hAnsi="Times New Roman"/>
          <w:color w:val="000000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/>
          <w:color w:val="000000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0" w:usb1="0000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Wingdings">
    <w:altName w:val="DejaVu Sans"/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1"/>
    <w:multiLevelType w:val="singleLevel"/>
    <w:tmpl w:val="00000000"/>
    <w:lvl w:ilvl="0">
      <w:start w:val="1"/>
      <w:numFmt w:val="bullet"/>
      <w:lvlRestart w:val="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character" w:styleId="16">
    <w:name w:val="page number"/>
    <w:basedOn w:val="10"/>
  </w:style>
  <w:style w:type="paragraph" w:customStyle="1" w:styleId="17">
    <w:name w:val="样式 9 三号"/>
    <w:next w:val="18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18">
    <w:name w:val="样式 74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0">
    <w:name w:val="样式 99 10 磅"/>
    <w:next w:val="21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1">
    <w:name w:val="样式 37 三号"/>
    <w:pPr>
      <w:keepNext/>
      <w:keepLines/>
      <w:widowControl w:val="0"/>
      <w:spacing w:before="260" w:after="260"/>
      <w:jc w:val="center"/>
      <w:outlineLvl w:val="1"/>
    </w:pPr>
    <w:rPr>
      <w:rFonts w:ascii="Arial" w:eastAsia="方正小标宋简体" w:cs="Arial" w:hAnsi="Arial"/>
      <w:color w:val="000000"/>
      <w:sz w:val="32"/>
      <w:szCs w:val="24"/>
      <w:lang w:val="en-US" w:eastAsia="zh-CN" w:bidi="ar-SA"/>
    </w:rPr>
  </w:style>
  <w:style w:type="paragraph" w:customStyle="1" w:styleId="22">
    <w:name w:val="样式 1 10 磅"/>
    <w:next w:val="23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73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24">
    <w:name w:val="样式 100 10 磅"/>
    <w:next w:val="2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5">
    <w:name w:val="样式 17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6">
    <w:name w:val="样式 101 10 磅"/>
    <w:next w:val="27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7">
    <w:name w:val="样式 17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styleId="28">
    <w:name w:val="Normal (Web)"/>
    <w:basedOn w:val="0"/>
    <w:next w:val="15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em w:val="none"/>
      <w:lang w:val="en-US" w:eastAsia="zh-CN" w:bidi="ar-SA"/>
    </w:rPr>
  </w:style>
  <w:style w:type="paragraph" w:customStyle="1" w:styleId="29">
    <w:name w:val="样式 三号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30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1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2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3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5">
    <w:name w:val="样式 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6">
    <w:name w:val="样式 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7">
    <w:name w:val="样式 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8">
    <w:name w:val="样式 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9">
    <w:name w:val="样式 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0">
    <w:name w:val="样式 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1">
    <w:name w:val="样式 7 10 磅"/>
    <w:next w:val="17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2">
    <w:name w:val="样式 53 10 磅"/>
    <w:next w:val="22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styleId="43">
    <w:name w:val="toc 6"/>
    <w:basedOn w:val="0"/>
    <w:autoRedefine/>
    <w:next w:val="0"/>
    <w:pPr>
      <w:ind w:left="2100"/>
    </w:pPr>
  </w:style>
  <w:style w:type="paragraph" w:styleId="44">
    <w:name w:val="List Bullet 4"/>
    <w:basedOn w:val="0"/>
    <w:pPr>
      <w:numPr>
        <w:ilvl w:val="0"/>
        <w:numId w:val="1"/>
      </w:numPr>
    </w:pPr>
  </w:style>
  <w:style w:type="paragraph" w:customStyle="1" w:styleId="45">
    <w:name w:val="样式 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6">
    <w:name w:val="样式 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7">
    <w:name w:val="样式 8 10 磅"/>
    <w:next w:val="43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8">
    <w:name w:val="样式 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9">
    <w:name w:val="样式 40 10 磅"/>
    <w:next w:val="44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0">
    <w:name w:val="样式 1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1">
    <w:name w:val="样式 1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2">
    <w:name w:val="样式 1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styleId="53">
    <w:name w:val="toc 2"/>
    <w:basedOn w:val="0"/>
    <w:autoRedefine/>
    <w:next w:val="0"/>
    <w:pPr>
      <w:ind w:left="420"/>
    </w:pPr>
  </w:style>
  <w:style w:type="paragraph" w:styleId="54">
    <w:name w:val="toc 4"/>
    <w:basedOn w:val="0"/>
    <w:autoRedefine/>
    <w:next w:val="0"/>
    <w:pPr>
      <w:ind w:left="1260"/>
    </w:pPr>
  </w:style>
  <w:style w:type="paragraph" w:customStyle="1" w:styleId="55">
    <w:name w:val="样式 14 10 磅"/>
    <w:next w:val="53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6">
    <w:name w:val="样式 17 10 磅"/>
    <w:next w:val="54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7">
    <w:name w:val="样式 1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8">
    <w:name w:val="样式 1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9">
    <w:name w:val="样式 1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0">
    <w:name w:val="样式 1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styleId="61">
    <w:name w:val="List Continue 2"/>
    <w:basedOn w:val="0"/>
    <w:pPr>
      <w:spacing w:after="120"/>
      <w:ind w:left="840"/>
    </w:pPr>
  </w:style>
  <w:style w:type="paragraph" w:customStyle="1" w:styleId="62">
    <w:name w:val="样式 65 10 磅"/>
    <w:next w:val="61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3">
    <w:name w:val="样式 1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4">
    <w:name w:val="样式 2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5">
    <w:name w:val="样式 2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682</TotalTime>
  <Application>Yozo_Office</Application>
  <Pages>1</Pages>
  <Words>13</Words>
  <Characters>13</Characters>
  <Lines>1</Lines>
  <Paragraphs>0</Paragraphs>
  <CharactersWithSpaces>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何可欣</cp:lastModifiedBy>
  <cp:revision>25</cp:revision>
  <dcterms:created xsi:type="dcterms:W3CDTF">2025-11-12T01:47:00Z</dcterms:created>
  <dcterms:modified xsi:type="dcterms:W3CDTF">2026-06-10T14:43:40Z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eyJoZGlkIjoiNTc1YjZhNjJhMTBkYzAzYjRkNGNmMDljMmU5NmIyOWYiLCJ1c2VySWQiOiIzNDAzNTU5ODcifQ==</vt:lpwstr>
  </property>
  <property fmtid="{D5CDD505-2E9C-101B-9397-08002B2CF9AE}" pid="4" name="ICV">
    <vt:lpwstr>CC98CE5F3A2242E48D9F9E420748B422_13</vt:lpwstr>
  </property>
</Properties>
</file>