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45"/>
        <w:spacing w:line="560" w:lineRule="exact"/>
        <w:rPr>
          <w:rFonts w:ascii="方正黑体_GBK" w:eastAsia="方正黑体_GBK" w:hint="eastAsia"/>
        </w:rPr>
      </w:pPr>
      <w:bookmarkStart w:id="0" w:name="_GoBack"/>
      <w:bookmarkEnd w:id="0"/>
      <w:r>
        <w:rPr>
          <w:rFonts w:ascii="方正黑体_GBK" w:eastAsia="方正黑体_GBK" w:hint="eastAsia"/>
        </w:rPr>
        <w:t>附件</w:t>
      </w:r>
      <w:r>
        <w:rPr>
          <w:rFonts w:ascii="方正黑体_GBK" w:eastAsia="方正黑体_GBK" w:hint="eastAsia"/>
        </w:rPr>
        <w:t>5</w:t>
      </w:r>
    </w:p>
    <w:p>
      <w:pPr>
        <w:pStyle w:val="45"/>
        <w:spacing w:line="560" w:lineRule="exact"/>
        <w:rPr>
          <w:rFonts w:ascii="方正黑体_GBK" w:eastAsia="方正黑体_GBK" w:hint="eastAsia"/>
        </w:rPr>
      </w:pPr>
    </w:p>
    <w:p>
      <w:pPr>
        <w:pStyle w:val="45"/>
        <w:spacing w:line="560" w:lineRule="exact"/>
        <w:jc w:val="center"/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</w:pPr>
      <w:r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  <w:t>进境</w:t>
      </w:r>
      <w:r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  <w:t>食用水生动物</w:t>
      </w:r>
      <w:r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  <w:t>指定监管场地设置要求</w:t>
      </w:r>
    </w:p>
    <w:p>
      <w:pPr>
        <w:pStyle w:val="20"/>
        <w:wordWrap w:val="0"/>
        <w:topLinePunct/>
        <w:spacing w:line="560" w:lineRule="exact"/>
        <w:ind w:firstLineChars="200" w:firstLine="640"/>
        <w:rPr>
          <w:rFonts w:ascii="Times New Roman" w:eastAsia="方正黑体_GBK" w:cs="Times New Roman" w:hAnsi="Times New Roman"/>
          <w:bCs/>
          <w:sz w:val="32"/>
          <w:szCs w:val="32"/>
          <w:lang w:bidi="ar-SA"/>
        </w:rPr>
      </w:pPr>
    </w:p>
    <w:p>
      <w:pPr>
        <w:pStyle w:val="20"/>
        <w:wordWrap w:val="0"/>
        <w:topLinePunct/>
        <w:spacing w:line="560" w:lineRule="exact"/>
        <w:ind w:left="0" w:firstLineChars="200" w:firstLine="640"/>
        <w:rPr>
          <w:rFonts w:ascii="Times New Roman" w:eastAsia="方正黑体_GBK" w:cs="Times New Roman" w:hAnsi="Times New Roman"/>
          <w:bCs/>
          <w:sz w:val="32"/>
          <w:szCs w:val="32"/>
          <w:lang w:bidi="ar-SA"/>
        </w:rPr>
      </w:pPr>
      <w:r>
        <w:rPr>
          <w:rFonts w:ascii="Times New Roman" w:eastAsia="方正黑体_GBK" w:cs="Times New Roman" w:hAnsi="Times New Roman"/>
          <w:bCs/>
          <w:sz w:val="32"/>
          <w:szCs w:val="32"/>
          <w:lang w:bidi="ar-SA"/>
        </w:rPr>
        <w:t>一、总体要求</w:t>
      </w:r>
    </w:p>
    <w:p>
      <w:pPr>
        <w:pStyle w:val="39"/>
        <w:wordWrap w:val="0"/>
        <w:topLinePunct/>
        <w:spacing w:line="560" w:lineRule="exact"/>
        <w:ind w:firstLineChars="200" w:firstLine="640"/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</w:pPr>
      <w:r>
        <w:rPr>
          <w:rFonts w:ascii="方正楷体_GBK" w:eastAsia="方正楷体_GBK" w:cs="Times New Roman" w:hint="eastAsia"/>
          <w:b/>
          <w:bCs/>
          <w:color w:val="auto"/>
          <w:sz w:val="32"/>
          <w:szCs w:val="32"/>
          <w:lang w:bidi="ar-SA"/>
        </w:rPr>
        <w:t>（一）环境条件。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场地应独立封闭，地面平整、硬化、无病媒生物孳生地，配备防鼠防虫设施。场地内环境卫生、设施规划与布局符合动物疫情防控和食品安全控制要求。场地周围50米内不得有有害气体、烟尘、粉尘、放射性物质及其他扩散性污染源。建立符合海关网络安全要求的机房或机柜，并且建立满足海关对货物查验、远程监控等工作要求的无线网络。场地经营单位应提供具备网络通讯、取暖降温、休息卫生等条件的海关备勤、办公场所。场地内或其所在口岸设有检疫处理区，能够满足对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死亡食用水生动物，换拆、废弃的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包装、装载用水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\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冰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、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铺垫材料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等应当实施检疫处理的对象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进行检疫处理的要求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；</w:t>
      </w:r>
      <w:r>
        <w:rPr>
          <w:rStyle w:val="51Char"/>
          <w:rFonts w:eastAsia="方正仿宋_GBK" w:cs="方正仿宋_GBK" w:hint="eastAsia"/>
          <w:color w:val="auto"/>
          <w:spacing w:val="-4"/>
          <w:sz w:val="32"/>
          <w:szCs w:val="32"/>
          <w:lang w:bidi="ar-SA"/>
        </w:rPr>
        <w:t>也可委托有资质的第三方实施</w:t>
      </w:r>
      <w:r>
        <w:rPr>
          <w:rStyle w:val="51Char"/>
          <w:rFonts w:eastAsia="方正仿宋_GBK" w:cs="方正仿宋_GBK"/>
          <w:color w:val="auto"/>
          <w:spacing w:val="-4"/>
          <w:sz w:val="32"/>
          <w:szCs w:val="32"/>
          <w:lang w:bidi="ar-SA"/>
        </w:rPr>
        <w:t>检疫</w:t>
      </w:r>
      <w:r>
        <w:rPr>
          <w:rStyle w:val="51Char"/>
          <w:rFonts w:eastAsia="方正仿宋_GBK" w:cs="方正仿宋_GBK" w:hint="eastAsia"/>
          <w:color w:val="auto"/>
          <w:spacing w:val="-4"/>
          <w:sz w:val="32"/>
          <w:szCs w:val="32"/>
          <w:lang w:bidi="ar-SA"/>
        </w:rPr>
        <w:t>处理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。</w:t>
      </w:r>
    </w:p>
    <w:p>
      <w:pPr>
        <w:pStyle w:val="41"/>
        <w:spacing w:line="560" w:lineRule="exact"/>
        <w:ind w:left="0" w:firstLineChars="200" w:firstLine="640"/>
        <w:rPr>
          <w:rFonts w:ascii="Times New Roman" w:eastAsia="方正仿宋_GBK" w:cs="Times New Roman" w:hAnsi="Times New Roman"/>
          <w:sz w:val="32"/>
          <w:szCs w:val="32"/>
          <w:lang w:bidi="ar-SA"/>
        </w:rPr>
      </w:pPr>
      <w:r>
        <w:rPr>
          <w:rFonts w:ascii="方正楷体_GBK" w:eastAsia="方正楷体_GBK" w:cs="Times New Roman" w:hint="eastAsia"/>
          <w:b/>
          <w:bCs/>
          <w:sz w:val="32"/>
          <w:szCs w:val="32"/>
          <w:lang w:bidi="ar-SA"/>
        </w:rPr>
        <w:t>（二）监控设施。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摄像头监控范围应覆盖</w:t>
      </w:r>
      <w:r>
        <w:rPr>
          <w:rFonts w:ascii="Times New Roman" w:eastAsia="方正仿宋_GBK" w:cs="Times New Roman" w:hAnsi="Times New Roman"/>
          <w:bCs/>
          <w:kern w:val="0"/>
          <w:sz w:val="32"/>
          <w:szCs w:val="32"/>
          <w:lang w:bidi="ar-SA"/>
        </w:rPr>
        <w:t>检查作业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区、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扣检场所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、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bidi="ar-SA"/>
        </w:rPr>
        <w:t>人员进出场地通道、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场地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bidi="ar-SA"/>
        </w:rPr>
        <w:t>出入口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及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bidi="ar-SA"/>
        </w:rPr>
        <w:t>检疫处理区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等。监控摄像头海关专控。</w:t>
      </w:r>
      <w:r>
        <w:rPr>
          <w:rFonts w:ascii="Times New Roman" w:eastAsia="方正仿宋_GBK" w:cs="Times New Roman" w:hAnsi="Times New Roman"/>
          <w:bCs/>
          <w:kern w:val="0"/>
          <w:sz w:val="32"/>
          <w:szCs w:val="32"/>
          <w:lang w:bidi="ar-SA"/>
        </w:rPr>
        <w:t>检查作业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区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bidi="ar-SA"/>
        </w:rPr>
        <w:t>应该安装云台摄像头，满足对区域全景及场地内监管秩序的全方位监控需求，同时配置高清摄像头，监控相关</w:t>
      </w:r>
      <w:r>
        <w:rPr>
          <w:rFonts w:ascii="Times New Roman" w:eastAsia="方正仿宋_GBK" w:cs="Times New Roman" w:hAnsi="Times New Roman"/>
          <w:bCs/>
          <w:kern w:val="0"/>
          <w:sz w:val="32"/>
          <w:szCs w:val="32"/>
          <w:lang w:bidi="ar-SA"/>
        </w:rPr>
        <w:t>检查作业情况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bidi="ar-SA"/>
        </w:rPr>
        <w:t>扣检场所应安装监控摄像头，满足对出入口、围墙、扣检池、处理区等的全方位监控需求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满足24小时监控需要，视频监控系统与海关联网，视频记录至少保留3个月。</w:t>
      </w:r>
    </w:p>
    <w:p>
      <w:pPr>
        <w:pStyle w:val="42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</w:pPr>
      <w:bookmarkStart w:id="1" w:name="_Hlk213780444"/>
      <w:r>
        <w:rPr>
          <w:rFonts w:ascii="方正楷体_GBK" w:eastAsia="方正楷体_GBK" w:cs="Times New Roman" w:hint="eastAsia"/>
          <w:b/>
          <w:bCs/>
          <w:color w:val="auto"/>
          <w:sz w:val="32"/>
          <w:szCs w:val="32"/>
          <w:lang w:bidi="ar-SA"/>
        </w:rPr>
        <w:t>（三）管理制度。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场地经营单位应建立相关制度，包括：日常管理制度、卫生防疫制度、异常死亡报告制度、进</w:t>
      </w:r>
      <w:r>
        <w:rPr>
          <w:rFonts w:ascii="方正仿宋_GBK" w:eastAsia="方正仿宋_GBK" w:cs="Times New Roman" w:hint="eastAsia"/>
          <w:color w:val="auto"/>
          <w:sz w:val="32"/>
          <w:szCs w:val="32"/>
          <w:lang w:bidi="ar-SA"/>
        </w:rPr>
        <w:t>\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出场等追溯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管理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制度、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扣检场所管理制度、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检疫处理制度等。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其中，扣检场所管理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制度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至少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需规定以下内容：扣检过程中死亡的食用水生动物应及时移出存放池，经海关同意后，方可进行无害化处理；每批食用水生动物扣检结束后，应对扣检场所内相关设施设备进行清洗和消毒。用过的水经有效消毒处理后方可排放；扣检期间，应每日记录扣检情况，包括食用水生动物存活、死亡、处理情况等，有关记录应至少保存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2年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。</w:t>
      </w:r>
    </w:p>
    <w:p>
      <w:pPr>
        <w:pStyle w:val="4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方正仿宋_GBK" w:hint="eastAsia"/>
          <w:bCs/>
          <w:color w:val="auto"/>
          <w:sz w:val="32"/>
          <w:szCs w:val="32"/>
          <w:lang w:bidi="ar-SA"/>
        </w:rPr>
      </w:pPr>
      <w:bookmarkEnd w:id="1"/>
      <w:r>
        <w:rPr>
          <w:rFonts w:ascii="方正楷体_GBK" w:eastAsia="方正楷体_GBK" w:cs="方正楷体_GBK" w:hint="eastAsia"/>
          <w:b/>
          <w:bCs/>
          <w:color w:val="auto"/>
          <w:sz w:val="32"/>
          <w:szCs w:val="32"/>
          <w:lang w:bidi="ar-SA"/>
        </w:rPr>
        <w:t>（四）工作机制。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所在地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的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县级以上地方政府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相关主管部门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 w:bidi="ar-SA"/>
        </w:rPr>
        <w:t>牵头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建立国门生物安全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和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食品安全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统筹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保障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、动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  <w:t>物疫情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风险联防联控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、突发事件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应急处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置等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工作机制。</w:t>
      </w:r>
    </w:p>
    <w:p>
      <w:pPr>
        <w:pStyle w:val="20"/>
        <w:wordWrap w:val="0"/>
        <w:topLinePunct/>
        <w:spacing w:line="560" w:lineRule="exact"/>
        <w:ind w:left="0" w:firstLineChars="200" w:firstLine="640"/>
        <w:rPr>
          <w:rFonts w:ascii="Times New Roman" w:eastAsia="方正黑体_GBK" w:cs="Times New Roman" w:hAnsi="Times New Roman" w:hint="eastAsia"/>
          <w:bCs/>
          <w:color w:val="auto"/>
          <w:sz w:val="32"/>
          <w:szCs w:val="32"/>
          <w:lang w:bidi="ar-SA"/>
        </w:rPr>
      </w:pPr>
      <w:r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  <w:t>二</w:t>
      </w:r>
      <w:r>
        <w:rPr>
          <w:rFonts w:ascii="Times New Roman" w:eastAsia="方正黑体_GBK" w:cs="Times New Roman" w:hAnsi="Times New Roman" w:hint="eastAsia"/>
          <w:bCs/>
          <w:color w:val="auto"/>
          <w:sz w:val="32"/>
          <w:szCs w:val="32"/>
          <w:lang w:bidi="ar-SA"/>
        </w:rPr>
        <w:t>、</w:t>
      </w:r>
      <w:r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  <w:t>检查作业</w:t>
      </w:r>
      <w:r>
        <w:rPr>
          <w:rFonts w:ascii="Times New Roman" w:eastAsia="方正黑体_GBK" w:cs="Times New Roman" w:hAnsi="Times New Roman" w:hint="eastAsia"/>
          <w:bCs/>
          <w:color w:val="auto"/>
          <w:sz w:val="32"/>
          <w:szCs w:val="32"/>
          <w:lang w:bidi="ar-SA"/>
        </w:rPr>
        <w:t>区</w:t>
      </w:r>
      <w:r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  <w:t>条件</w:t>
      </w:r>
    </w:p>
    <w:p>
      <w:pPr>
        <w:pStyle w:val="82"/>
        <w:wordWrap w:val="0"/>
        <w:topLinePunct/>
        <w:spacing w:line="560" w:lineRule="exact"/>
        <w:ind w:left="0" w:firstLineChars="200" w:firstLine="624"/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</w:pPr>
      <w:r>
        <w:rPr>
          <w:rFonts w:ascii="方正楷体_GBK" w:eastAsia="方正楷体_GBK" w:cs="方正楷体_GBK" w:hint="eastAsia"/>
          <w:b/>
          <w:color w:val="auto"/>
          <w:spacing w:val="-4"/>
          <w:sz w:val="32"/>
          <w:szCs w:val="32"/>
          <w:lang w:bidi="ar-SA"/>
        </w:rPr>
        <w:t>（一）功能区。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场地面积应与进境食用水生动物数量、批次相适应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供排水、通风、供电、照明、安全防护、防虫防鼠设施齐全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，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满足进境食用水生动物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检查作业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要求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</w:p>
    <w:p>
      <w:pPr>
        <w:pStyle w:val="87"/>
        <w:wordWrap w:val="0"/>
        <w:topLinePunct/>
        <w:spacing w:line="560" w:lineRule="exact"/>
        <w:ind w:left="0" w:firstLineChars="200" w:firstLine="640"/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</w:pPr>
      <w:r>
        <w:rPr>
          <w:rFonts w:ascii="Times New Roman" w:eastAsia="方正楷体_GBK" w:cs="Times New Roman" w:hAnsi="Times New Roman" w:hint="eastAsia"/>
          <w:b/>
          <w:bCs/>
          <w:color w:val="auto"/>
          <w:sz w:val="32"/>
          <w:szCs w:val="32"/>
          <w:lang w:bidi="ar-SA"/>
        </w:rPr>
        <w:t>（二）防疫设施。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具备必要的防疫消毒药械存放设施，配置必要的防疫消毒药剂及器械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具备死亡水生动物的暂存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设施或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设备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</w:p>
    <w:p>
      <w:pPr>
        <w:pStyle w:val="89"/>
        <w:wordWrap w:val="0"/>
        <w:topLinePunct/>
        <w:spacing w:line="560" w:lineRule="exact"/>
        <w:ind w:left="0" w:firstLineChars="200" w:firstLine="640"/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</w:pPr>
      <w:r>
        <w:rPr>
          <w:rFonts w:ascii="Times New Roman" w:eastAsia="方正楷体_GBK" w:cs="Times New Roman" w:hAnsi="Times New Roman" w:hint="eastAsia"/>
          <w:b/>
          <w:bCs/>
          <w:color w:val="auto"/>
          <w:sz w:val="32"/>
          <w:szCs w:val="32"/>
          <w:lang w:bidi="ar-SA"/>
        </w:rPr>
        <w:t>（三）</w:t>
      </w:r>
      <w:r>
        <w:rPr>
          <w:rFonts w:ascii="Times New Roman" w:eastAsia="方正楷体_GBK" w:cs="Times New Roman" w:hAnsi="Times New Roman"/>
          <w:b/>
          <w:bCs/>
          <w:color w:val="auto"/>
          <w:sz w:val="32"/>
          <w:szCs w:val="32"/>
          <w:lang w:bidi="ar-SA"/>
        </w:rPr>
        <w:t>检查</w:t>
      </w:r>
      <w:r>
        <w:rPr>
          <w:rFonts w:ascii="Times New Roman" w:eastAsia="方正楷体_GBK" w:cs="Times New Roman" w:hAnsi="Times New Roman" w:hint="eastAsia"/>
          <w:b/>
          <w:bCs/>
          <w:color w:val="auto"/>
          <w:sz w:val="32"/>
          <w:szCs w:val="32"/>
          <w:lang w:bidi="ar-SA"/>
        </w:rPr>
        <w:t>设施。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配置必要的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检查作业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设施设备，如：铲车、操作台、采样场所、通风设备、木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质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包装拆卸工具等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采样场所应配备采样工作台、消毒池以及必要的临床检查和采样工器具，如：解剖工具、不锈钢盘、手套、照相机、充氧设备、消毒设施设备、冷藏冰箱、保温送样箱、冰袋等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</w:p>
    <w:p>
      <w:pPr>
        <w:pStyle w:val="20"/>
        <w:wordWrap w:val="0"/>
        <w:topLinePunct/>
        <w:spacing w:line="560" w:lineRule="exact"/>
        <w:ind w:left="0" w:firstLineChars="200" w:firstLine="640"/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</w:pPr>
      <w:r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  <w:t>三</w:t>
      </w:r>
      <w:r>
        <w:rPr>
          <w:rFonts w:ascii="Times New Roman" w:eastAsia="方正黑体_GBK" w:cs="Times New Roman" w:hAnsi="Times New Roman" w:hint="eastAsia"/>
          <w:bCs/>
          <w:color w:val="auto"/>
          <w:sz w:val="32"/>
          <w:szCs w:val="32"/>
          <w:lang w:bidi="ar-SA"/>
        </w:rPr>
        <w:t>、</w:t>
      </w:r>
      <w:r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  <w:t>配套</w:t>
      </w:r>
      <w:r>
        <w:rPr>
          <w:rFonts w:ascii="Times New Roman" w:eastAsia="方正黑体_GBK" w:cs="Times New Roman" w:hAnsi="Times New Roman" w:hint="eastAsia"/>
          <w:bCs/>
          <w:color w:val="auto"/>
          <w:sz w:val="32"/>
          <w:szCs w:val="32"/>
          <w:lang w:bidi="ar-SA"/>
        </w:rPr>
        <w:t>扣检</w:t>
      </w:r>
      <w:r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  <w:t>场所设置要求</w:t>
      </w:r>
    </w:p>
    <w:p>
      <w:pPr>
        <w:pStyle w:val="20"/>
        <w:wordWrap w:val="0"/>
        <w:topLinePunct/>
        <w:spacing w:line="560" w:lineRule="exact"/>
        <w:ind w:left="0" w:firstLineChars="200" w:firstLine="640"/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</w:pP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扣检场所周边卫生环境良好，与周围物理隔离，无污染源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，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具备供水、供电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及检查作业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条件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扣检场所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内扣检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池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的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数量、容量满足场地扣检需求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，具备死亡水生动物暂存设施或设备。扣检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池独立供排水、标识清楚，具有供氧、调温、调节盐度等水生动物生存条件，并具备防逃逸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设施或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设备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不同国家和不同品种的食用水生动物应分区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域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存放，不同报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关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批的食用水生动物应分池存放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扣检场所内用水、用冰应安全卫生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有专业技术人员负责对扣检的食用水生动物进行管理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</w:p>
    <w:p>
      <w:pPr>
        <w:pStyle w:val="36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</w:pPr>
      <w:r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  <w:t>四、</w:t>
      </w:r>
      <w:r>
        <w:rPr>
          <w:rFonts w:ascii="Times New Roman" w:eastAsia="方正黑体_GBK" w:cs="Times New Roman" w:hAnsi="Times New Roman" w:hint="eastAsia"/>
          <w:bCs/>
          <w:color w:val="auto"/>
          <w:sz w:val="32"/>
          <w:szCs w:val="32"/>
          <w:lang w:bidi="ar-SA"/>
        </w:rPr>
        <w:t>监管</w:t>
      </w:r>
      <w:r>
        <w:rPr>
          <w:rFonts w:ascii="Times New Roman" w:eastAsia="方正黑体_GBK" w:cs="Times New Roman" w:hAnsi="Times New Roman"/>
          <w:bCs/>
          <w:color w:val="auto"/>
          <w:sz w:val="32"/>
          <w:szCs w:val="32"/>
          <w:lang w:bidi="ar-SA"/>
        </w:rPr>
        <w:t>和检测能力</w:t>
      </w:r>
    </w:p>
    <w:p>
      <w:pPr>
        <w:pStyle w:val="36"/>
        <w:wordWrap w:val="0"/>
        <w:topLinePunct/>
        <w:adjustRightInd w:val="0"/>
        <w:snapToGrid w:val="0"/>
        <w:spacing w:line="560" w:lineRule="exact"/>
        <w:ind w:left="0" w:firstLineChars="200" w:firstLine="624"/>
        <w:rPr>
          <w:rFonts w:ascii="方正楷体_GBK" w:eastAsia="方正楷体_GBK" w:cs="Times New Roman" w:hint="eastAsia"/>
          <w:b/>
          <w:bCs/>
          <w:color w:val="auto"/>
          <w:sz w:val="32"/>
          <w:szCs w:val="32"/>
          <w:lang w:bidi="ar-SA"/>
        </w:rPr>
      </w:pPr>
      <w:bookmarkStart w:id="2" w:name="_Hlk213921330"/>
      <w:r>
        <w:rPr>
          <w:rFonts w:ascii="方正楷体_GBK" w:eastAsia="方正楷体_GBK" w:cs="方正楷体_GBK" w:hint="eastAsia"/>
          <w:b/>
          <w:color w:val="auto"/>
          <w:spacing w:val="-4"/>
          <w:kern w:val="2"/>
          <w:sz w:val="32"/>
          <w:szCs w:val="32"/>
          <w:lang w:bidi="ar-SA"/>
        </w:rPr>
        <w:t>（一）检查人员。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  <w:lang w:bidi="ar-SA"/>
        </w:rPr>
        <w:t>主管海关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  <w:lang w:bidi="ar-SA"/>
        </w:rPr>
        <w:t>应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  <w:lang w:bidi="ar-SA"/>
        </w:rPr>
        <w:t>配备与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  <w:lang w:bidi="ar-SA"/>
        </w:rPr>
        <w:t>进境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  <w:lang w:bidi="ar-SA"/>
        </w:rPr>
        <w:t>量相适应的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  <w:lang w:bidi="ar-SA"/>
        </w:rPr>
        <w:t>海关监管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  <w:lang w:bidi="ar-SA"/>
        </w:rPr>
        <w:t>人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  <w:lang w:bidi="ar-SA"/>
        </w:rPr>
        <w:t>员，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具备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动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物现场检疫专家资质的人员应不少于3人，具备签证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兽医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官资质的人员应不少于1人。</w:t>
      </w:r>
    </w:p>
    <w:p>
      <w:pPr>
        <w:pStyle w:val="95"/>
        <w:wordWrap w:val="0"/>
        <w:topLinePunct/>
        <w:adjustRightInd w:val="0"/>
        <w:snapToGrid w:val="0"/>
        <w:spacing w:line="560" w:lineRule="exact"/>
        <w:ind w:left="0" w:firstLineChars="200" w:firstLine="624"/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</w:pPr>
      <w:r>
        <w:rPr>
          <w:rFonts w:ascii="Times New Roman" w:eastAsia="方正楷体_GBK" w:cs="Times New Roman" w:hAnsi="Times New Roman"/>
          <w:b/>
          <w:color w:val="auto"/>
          <w:spacing w:val="-4"/>
          <w:kern w:val="2"/>
          <w:sz w:val="32"/>
          <w:szCs w:val="32"/>
          <w:lang w:bidi="ar-SA"/>
        </w:rPr>
        <w:t>（二）检测人员。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动物检疫实验室配备至少2名动物检疫检测技术人员，安全卫生实验室配备至少3名安全卫生项目检测人员。</w:t>
      </w:r>
    </w:p>
    <w:p>
      <w:pPr>
        <w:pStyle w:val="97"/>
        <w:spacing w:line="560" w:lineRule="exact"/>
        <w:ind w:left="0" w:firstLineChars="200" w:firstLine="640"/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</w:pPr>
      <w:r>
        <w:rPr>
          <w:rFonts w:ascii="方正楷体_GBK" w:eastAsia="方正楷体_GBK" w:cs="Times New Roman" w:hint="eastAsia"/>
          <w:b/>
          <w:bCs/>
          <w:sz w:val="32"/>
          <w:szCs w:val="32"/>
          <w:lang w:bidi="ar-SA"/>
        </w:rPr>
        <w:t>（三）检测能力。</w:t>
      </w:r>
      <w:r>
        <w:rPr>
          <w:rFonts w:hint="eastAsia"/>
          <w:bCs/>
          <w:kern w:val="0"/>
        </w:rPr>
        <w:t>主管海关或直属海关技术机构具有开展进口</w:t>
      </w:r>
      <w:r>
        <w:rPr>
          <w:bCs/>
          <w:kern w:val="0"/>
        </w:rPr>
        <w:t>食用水生动物</w:t>
      </w:r>
      <w:r>
        <w:rPr>
          <w:rFonts w:hint="eastAsia"/>
          <w:bCs/>
          <w:kern w:val="0"/>
        </w:rPr>
        <w:t>食品安全及检疫项目检测的实验室</w:t>
      </w:r>
      <w:r>
        <w:rPr>
          <w:bCs/>
          <w:kern w:val="0"/>
        </w:rPr>
        <w:t>，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bidi="ar-SA"/>
        </w:rPr>
        <w:t>配备与承担检测业务相适应的仪器、设备和检测人员，能够开展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进境食用水生动物安全风险监控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bidi="ar-SA"/>
        </w:rPr>
        <w:t>和疫病监测的主要项目，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bidi="ar-SA"/>
        </w:rPr>
        <w:t>检测项目包括：水生动物疫病、理化项目、致病微生物、生物毒素。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特殊情况下，需要送复核实验室复核或需要送其他技术机构检测的，检测周期应满足通关时长要求。</w:t>
      </w:r>
    </w:p>
    <w:p>
      <w:pPr>
        <w:pStyle w:val="26"/>
        <w:spacing w:line="560" w:lineRule="exact"/>
        <w:ind w:left="0" w:firstLineChars="200" w:firstLine="640"/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</w:pPr>
      <w:bookmarkEnd w:id="2"/>
    </w:p>
    <w:sectPr>
      <w:pgSz w:w="11907" w:h="16839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简体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兰亭黑_GBK">
    <w:altName w:val="Arial Unicode MS"/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roman"/>
    <w:pitch w:val="variable"/>
    <w:sig w:usb0="00000000" w:usb1="38CF7CFA" w:usb2="00000016" w:usb3="00000000" w:csb0="0004000F" w:csb1="00000000"/>
  </w:font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兰亭黑_GBK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heading"/>
    <w:basedOn w:val="0"/>
    <w:rPr>
      <w:rFonts w:ascii="Times New Roman" w:hAnsi="Times New Roman"/>
      <w:b/>
      <w:bCs/>
    </w:rPr>
  </w:style>
  <w:style w:type="paragraph" w:customStyle="1" w:styleId="16">
    <w:name w:val="样式 85 10 磅"/>
    <w:pPr>
      <w:widowControl w:val="0"/>
      <w:jc w:val="both"/>
    </w:pPr>
    <w:rPr>
      <w:rFonts w:asci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7">
    <w:name w:val="样式 10 磅"/>
    <w:next w:val="25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9">
    <w:name w:val="样式 4 三号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20">
    <w:name w:val="样式 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1">
    <w:name w:val="样式 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2">
    <w:name w:val="样式 4 10 磅"/>
    <w:pPr>
      <w:widowControl w:val="0"/>
      <w:spacing w:line="240" w:lineRule="auto"/>
      <w:jc w:val="both"/>
    </w:pPr>
    <w:rPr>
      <w:rFonts w:ascii="Times New Roman" w:eastAsia="方正兰亭黑_GBK" w:cs="Lucida Sans" w:hAnsi="Times New Roman"/>
      <w:kern w:val="2"/>
      <w:sz w:val="21"/>
      <w:szCs w:val="21"/>
      <w:lang w:val="en-US" w:eastAsia="zh-CN" w:bidi="ar-SA"/>
    </w:rPr>
  </w:style>
  <w:style w:type="paragraph" w:customStyle="1" w:styleId="23">
    <w:name w:val="样式 5 10 磅"/>
    <w:pPr>
      <w:widowControl w:val="0"/>
      <w:spacing w:line="240" w:lineRule="auto"/>
      <w:jc w:val="both"/>
    </w:pPr>
    <w:rPr>
      <w:rFonts w:ascii="Times New Roman" w:eastAsia="方正兰亭黑_GBK" w:cs="Lucida Sans" w:hAnsi="Times New Roman"/>
      <w:kern w:val="2"/>
      <w:sz w:val="21"/>
      <w:szCs w:val="21"/>
      <w:lang w:val="en-US" w:eastAsia="zh-CN" w:bidi="ar-SA"/>
    </w:rPr>
  </w:style>
  <w:style w:type="paragraph" w:customStyle="1" w:styleId="24">
    <w:name w:val="样式 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5">
    <w:name w:val="样式 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6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7">
    <w:name w:val="样式 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8">
    <w:name w:val="样式 1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9">
    <w:name w:val="样式 1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0">
    <w:name w:val="样式 1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1">
    <w:name w:val="样式 95 10 磅"/>
    <w:next w:val="0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styleId="33">
    <w:name w:val="Signature"/>
    <w:basedOn w:val="0"/>
    <w:pPr>
      <w:ind w:left="4320"/>
    </w:pPr>
  </w:style>
  <w:style w:type="paragraph" w:styleId="34">
    <w:name w:val="Body Text"/>
    <w:basedOn w:val="0"/>
    <w:pPr>
      <w:spacing w:after="120"/>
    </w:pPr>
  </w:style>
  <w:style w:type="paragraph" w:styleId="35">
    <w:name w:val="Body Text Indent"/>
    <w:basedOn w:val="0"/>
    <w:pPr>
      <w:spacing w:after="120"/>
      <w:ind w:left="420"/>
    </w:pPr>
  </w:style>
  <w:style w:type="paragraph" w:customStyle="1" w:styleId="36">
    <w:name w:val="样式 1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7">
    <w:name w:val="样式 1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8">
    <w:name w:val="样式 1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9">
    <w:name w:val="样式 1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0">
    <w:name w:val="样式 1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1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2">
    <w:name w:val="样式 2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3">
    <w:name w:val="样式 2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4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5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6">
    <w:name w:val="样式 2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7">
    <w:name w:val="样式 53 10 磅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styleId="48">
    <w:name w:val="annotation text"/>
    <w:basedOn w:val="0"/>
    <w:pPr>
      <w:jc w:val="left"/>
    </w:pPr>
  </w:style>
  <w:style w:type="paragraph" w:styleId="49">
    <w:name w:val="annotation subject"/>
    <w:basedOn w:val="48"/>
    <w:next w:val="48"/>
    <w:rPr>
      <w:b/>
      <w:bCs/>
    </w:rPr>
  </w:style>
  <w:style w:type="paragraph" w:customStyle="1" w:styleId="50">
    <w:name w:val="样式 2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1">
    <w:name w:val="样式 80 10 磅"/>
    <w:next w:val="0"/>
    <w:link w:val="51Char"/>
    <w:rPr>
      <w:rFonts w:ascii="Times New Roman" w:eastAsia="方正小标宋_GBK" w:cs="Times New Roman" w:hAnsi="Times New Roman"/>
      <w:kern w:val="0"/>
      <w:sz w:val="20"/>
      <w:szCs w:val="20"/>
      <w:lang w:val="en-US" w:eastAsia="zh-CN" w:bidi="ar-SA"/>
    </w:rPr>
  </w:style>
  <w:style w:type="character" w:customStyle="1" w:styleId="51Char">
    <w:name w:val="样式 80 10 磅 Char"/>
    <w:basedOn w:val="10"/>
    <w:link w:val="51"/>
    <w:rPr>
      <w:rFonts w:ascii="Times New Roman" w:eastAsia="方正小标宋_GBK" w:cs="Times New Roman" w:hAnsi="Times New Roman"/>
      <w:kern w:val="0"/>
      <w:sz w:val="20"/>
      <w:szCs w:val="20"/>
      <w:lang w:val="en-US" w:eastAsia="zh-CN" w:bidi="ar-SA"/>
    </w:rPr>
  </w:style>
  <w:style w:type="paragraph" w:customStyle="1" w:styleId="52">
    <w:name w:val="样式 76 10 磅"/>
    <w:next w:val="0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customStyle="1" w:styleId="53">
    <w:name w:val="样式 25 10 磅"/>
    <w:rPr>
      <w:rFonts w:ascii="Times New Roman" w:eastAsia="方正小标宋_GBK" w:cs="Times New Roman" w:hAnsi="Times New Roman"/>
      <w:kern w:val="0"/>
      <w:sz w:val="20"/>
      <w:szCs w:val="20"/>
      <w:lang w:val="en-US" w:eastAsia="zh-CN" w:bidi="ar-SA"/>
    </w:rPr>
  </w:style>
  <w:style w:type="paragraph" w:customStyle="1" w:styleId="54">
    <w:name w:val="样式 2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5">
    <w:name w:val="样式 2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6">
    <w:name w:val="样式 2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7">
    <w:name w:val="样式 29 10 磅"/>
    <w:next w:val="62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8">
    <w:name w:val="样式 3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9">
    <w:name w:val="样式 3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0">
    <w:name w:val="样式 3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1">
    <w:name w:val="样式 3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2">
    <w:name w:val="样式 3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3">
    <w:name w:val="样式 3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4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5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6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7">
    <w:name w:val="样式 3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8">
    <w:name w:val="样式 4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9">
    <w:name w:val="样式 4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0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1">
    <w:name w:val="样式 4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2">
    <w:name w:val="样式 1 三号"/>
    <w:next w:val="21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73">
    <w:name w:val="样式 5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4">
    <w:name w:val="样式 4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5">
    <w:name w:val="样式 4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6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7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8">
    <w:name w:val="样式 4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9">
    <w:name w:val="样式 4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0">
    <w:name w:val="样式 5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1">
    <w:name w:val="样式 5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2">
    <w:name w:val="样式 5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3">
    <w:name w:val="样式 5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4">
    <w:name w:val="样式 5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5">
    <w:name w:val="样式 5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6">
    <w:name w:val="样式 5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7">
    <w:name w:val="样式 5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8">
    <w:name w:val="样式 5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9">
    <w:name w:val="样式 6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0">
    <w:name w:val="样式 6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1">
    <w:name w:val="样式 6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2">
    <w:name w:val="样式 6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3">
    <w:name w:val="样式 6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4">
    <w:name w:val="样式 6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5">
    <w:name w:val="样式 6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6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7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98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9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4742</TotalTime>
  <Application>Yozo_Office</Application>
  <Pages>4</Pages>
  <Words>1620</Words>
  <Characters>1622</Characters>
  <Lines>74</Lines>
  <Paragraphs>17</Paragraphs>
  <CharactersWithSpaces>1622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韩乐濛</dc:creator>
  <cp:lastModifiedBy>何可欣</cp:lastModifiedBy>
  <cp:revision>1</cp:revision>
  <cp:lastPrinted>2026-05-28T01:07:00Z</cp:lastPrinted>
  <dcterms:created xsi:type="dcterms:W3CDTF">2025-12-10T01:06:00Z</dcterms:created>
  <dcterms:modified xsi:type="dcterms:W3CDTF">2026-06-10T15:32:38Z</dcterms:modified>
</cp:coreProperties>
</file>