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6"/>
        <w:autoSpaceDE w:val="0"/>
        <w:autoSpaceDN w:val="0"/>
        <w:adjustRightInd w:val="0"/>
        <w:jc w:val="left"/>
        <w:rPr>
          <w:snapToGrid w:val="0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附件3</w:t>
      </w:r>
    </w:p>
    <w:p>
      <w:pPr>
        <w:pStyle w:val="27"/>
        <w:tabs>
          <w:tab w:val="left" w:pos="2395"/>
        </w:tabs>
        <w:spacing w:line="56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snapToGrid w:val="0"/>
          <w:kern w:val="0"/>
          <w:sz w:val="44"/>
          <w:szCs w:val="44"/>
        </w:rPr>
        <w:t>需</w:t>
      </w: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审批进境的动植物及其产品、特殊物品</w:t>
      </w:r>
    </w:p>
    <w:p>
      <w:pPr>
        <w:pStyle w:val="27"/>
        <w:tabs>
          <w:tab w:val="left" w:pos="2395"/>
        </w:tabs>
        <w:spacing w:line="56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394"/>
      </w:tblGrid>
      <w:t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黑体_GBK" w:cs="Courier New" w:hint="eastAsia"/>
                <w:snapToGrid w:val="0"/>
                <w:kern w:val="0"/>
                <w:sz w:val="32"/>
                <w:szCs w:val="32"/>
              </w:rPr>
              <w:t>一、动物及动物产品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a.活动物及活动物胚胎、精液、受精卵、种蛋及其他动物遗传物质；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b.生物材料：详见海关总署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《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关于科学完善进出境生物材料检疫监管措施的公告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》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（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海关总署公告2025年第254号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）；</w:t>
            </w:r>
          </w:p>
          <w:p>
            <w:pPr>
              <w:pStyle w:val="29"/>
              <w:autoSpaceDE w:val="0"/>
              <w:autoSpaceDN w:val="0"/>
              <w:adjustRightInd w:val="0"/>
              <w:spacing w:line="560" w:lineRule="exact"/>
              <w:rPr>
                <w:rFonts w:eastAsia="方正仿宋_GBK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c.食用性动物产品：</w:t>
            </w:r>
            <w:r>
              <w:rPr>
                <w:rFonts w:eastAsia="方正仿宋_GBK" w:hint="eastAsia"/>
                <w:snapToGrid w:val="0"/>
                <w:spacing w:val="-4"/>
                <w:kern w:val="0"/>
                <w:sz w:val="32"/>
                <w:szCs w:val="32"/>
              </w:rPr>
              <w:t>肉类产品（熟制、腌制肉类除外）、鲜蛋；</w:t>
            </w:r>
          </w:p>
          <w:p>
            <w:pPr>
              <w:pStyle w:val="30"/>
              <w:autoSpaceDE w:val="0"/>
              <w:autoSpaceDN w:val="0"/>
              <w:adjustRightInd w:val="0"/>
              <w:spacing w:line="560" w:lineRule="exact"/>
              <w:ind w:right="143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d.非食用性动物产品：详见海关总署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《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关于优化进境非食用动物产品风险级别及检验检疫监管措施的公告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》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（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海关总署公告2024年第208号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）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e.饲料产品：配合饲料、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浓缩饲料、精料补充料、饵料用活动物、添加剂预混合饲料（含动物源性成份）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饲料用（含饵料用）冰鲜冷冻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陆生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动物产品、加工动物蛋白及油脂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（鱼粉、鱼油、水产渣粉、乳粉、乳清粉、明胶除外）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、宠物食品和咬胶（罐头除外）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spacing w:val="-4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f.动物源性中药材：鹿茸、鹿角、蛤蚧、地龙、乌梢蛇、牛黄。</w:t>
            </w:r>
          </w:p>
        </w:tc>
      </w:tr>
      <w:t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djustRightInd w:val="0"/>
              <w:snapToGri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djustRightInd w:val="0"/>
              <w:snapToGri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djustRightInd w:val="0"/>
              <w:snapToGrid w:val="0"/>
              <w:spacing w:line="560" w:lineRule="exact"/>
              <w:jc w:val="left"/>
              <w:rPr>
                <w:rFonts w:eastAsia="方正小标宋_GBK"/>
                <w:snapToGrid w:val="0"/>
                <w:kern w:val="0"/>
                <w:sz w:val="44"/>
                <w:szCs w:val="44"/>
              </w:rPr>
            </w:pPr>
            <w:r>
              <w:rPr>
                <w:rFonts w:eastAsia="方正黑体_GBK" w:cs="Courier New" w:hint="eastAsia"/>
                <w:snapToGrid w:val="0"/>
                <w:kern w:val="0"/>
                <w:sz w:val="32"/>
                <w:szCs w:val="32"/>
              </w:rPr>
              <w:t>二、植物及植物产品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a.种子、苗木及其他植物繁殖材料；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b.果蔬类：新鲜水果；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c.粮谷类：小麦、玉米、稻谷、大麦、黑麦、燕麦、高粱、</w:t>
            </w:r>
            <w:r>
              <w:rPr>
                <w:rFonts w:eastAsia="方正仿宋_GBK" w:cs="Courier New" w:hint="eastAsia"/>
                <w:snapToGrid w:val="0"/>
                <w:color w:val="000000"/>
                <w:spacing w:val="-4"/>
                <w:kern w:val="0"/>
                <w:sz w:val="32"/>
                <w:szCs w:val="32"/>
              </w:rPr>
              <w:t>油菜籽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以及其他杂粮类等；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d.豆类：大豆、绿豆、豌豆、赤豆、蚕豆、鹰嘴豆以及其他杂豆类等；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e.薯类：马铃薯、木薯、甘薯等；</w:t>
            </w: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f .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具有疫情疫病传播风险的植物源性食品。</w:t>
            </w:r>
          </w:p>
        </w:tc>
      </w:tr>
      <w:t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黑体_GBK" w:cs="Courier New" w:hint="eastAsia"/>
                <w:snapToGrid w:val="0"/>
                <w:kern w:val="0"/>
                <w:sz w:val="32"/>
                <w:szCs w:val="32"/>
              </w:rPr>
              <w:t>三、转基因动植物产品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涉及转基因标识目录范围的动植物产品，应声明是否“转基因”，如含转基因成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分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应提供农业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农村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部出具的“转基因生物安全证书”。</w:t>
            </w:r>
          </w:p>
        </w:tc>
      </w:tr>
      <w:t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28"/>
              <w:autoSpaceDE w:val="0"/>
              <w:autoSpaceDN w:val="0"/>
              <w:adjustRightInd w:val="0"/>
              <w:spacing w:line="560" w:lineRule="exact"/>
              <w:jc w:val="left"/>
              <w:rPr>
                <w:rFonts w:eastAsia="方正黑体_GBK" w:cs="Courier New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黑体_GBK" w:cs="Courier New" w:hint="eastAsia"/>
                <w:snapToGrid w:val="0"/>
                <w:kern w:val="0"/>
                <w:sz w:val="32"/>
                <w:szCs w:val="32"/>
              </w:rPr>
              <w:t>四、特殊物品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28"/>
              <w:autoSpaceDE w:val="0"/>
              <w:autoSpaceDN w:val="0"/>
              <w:adjustRightInd w:val="0"/>
              <w:spacing w:line="560" w:lineRule="exact"/>
              <w:rPr>
                <w:rFonts w:eastAsia="方正仿宋_GBK"/>
                <w:snapToGrid w:val="0"/>
                <w:spacing w:val="-4"/>
                <w:kern w:val="0"/>
                <w:sz w:val="32"/>
                <w:szCs w:val="32"/>
              </w:rPr>
            </w:pP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进境的血液等人体组织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（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人类的全血、血浆、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血清、其他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血液成分、细胞、细胞系、胚胎、器官、组织、骨髓等，以及脑脊液、胸腔液、腹腔液等其他可能传播传染病的分泌物、排泄物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、体液）、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病原微生物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（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可以侵犯人体，引起感染甚至传染病的微生物，包括病毒、细菌、真菌、放线菌、立克次体、螺旋体、衣原体、支原体、朊病毒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、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寄生虫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等）、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生物制品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（来源于人或者用于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人类医学相关领域的人体蛋白、细胞因子、酶及其制剂、毒素、抗原、抗体、抗原—抗体复合物、核酸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及其他生物技术产品</w:t>
            </w:r>
            <w:r>
              <w:rPr>
                <w:rFonts w:eastAsia="方正仿宋_GBK" w:cs="Courier New" w:hint="eastAsia"/>
                <w:snapToGrid w:val="0"/>
                <w:spacing w:val="-4"/>
                <w:kern w:val="0"/>
                <w:sz w:val="32"/>
                <w:szCs w:val="32"/>
              </w:rPr>
              <w:t>等生物活性制剂</w:t>
            </w:r>
            <w:r>
              <w:rPr>
                <w:rFonts w:eastAsia="方正仿宋_GBK" w:cs="Courier New"/>
                <w:snapToGrid w:val="0"/>
                <w:spacing w:val="-4"/>
                <w:kern w:val="0"/>
                <w:sz w:val="32"/>
                <w:szCs w:val="32"/>
              </w:rPr>
              <w:t>）</w:t>
            </w:r>
            <w:r>
              <w:rPr>
                <w:rFonts w:eastAsia="方正仿宋_GBK" w:hint="eastAsia"/>
                <w:snapToGrid w:val="0"/>
                <w:spacing w:val="-4"/>
                <w:kern w:val="0"/>
                <w:sz w:val="32"/>
                <w:szCs w:val="32"/>
              </w:rPr>
              <w:t>。</w:t>
            </w:r>
          </w:p>
        </w:tc>
      </w:tr>
    </w:tbl>
    <w:p>
      <w:pPr>
        <w:pStyle w:val="34"/>
      </w:pPr>
      <w:r>
        <w:rPr>
          <w:rFonts w:cs="仿宋_GB2312" w:hint="eastAsia"/>
        </w:rPr>
        <w:t>注：如国家有关政策调整，按调整后的政策规定执行。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7030405040A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43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TML Address"/>
    <w:basedOn w:val="0"/>
    <w:rPr>
      <w:i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方正黑体_GBK" w:eastAsia="方正黑体_GBK" w:cs="Times New Roman"/>
      <w:kern w:val="2"/>
      <w:sz w:val="18"/>
      <w:szCs w:val="18"/>
      <w:lang w:val="en-US" w:eastAsia="zh-CN" w:bidi="ar-SA"/>
    </w:rPr>
  </w:style>
  <w:style w:type="paragraph" w:styleId="17">
    <w:name w:val="toc 6"/>
    <w:basedOn w:val="0"/>
    <w:autoRedefine/>
    <w:next w:val="0"/>
    <w:pPr>
      <w:ind w:left="2100"/>
    </w:pPr>
  </w:style>
  <w:style w:type="paragraph" w:styleId="18">
    <w:name w:val="Body Text 2"/>
    <w:basedOn w:val="0"/>
    <w:pPr>
      <w:spacing w:after="120" w:line="480" w:lineRule="auto"/>
    </w:pPr>
  </w:style>
  <w:style w:type="paragraph" w:styleId="19">
    <w:name w:val="Normal (Web)"/>
    <w:basedOn w:val="0"/>
    <w:rPr>
      <w:sz w:val="24"/>
      <w:szCs w:val="24"/>
    </w:rPr>
  </w:style>
  <w:style w:type="character" w:styleId="20">
    <w:name w:val="page number"/>
  </w:style>
  <w:style w:type="character" w:styleId="21">
    <w:name w:val="HTML Definition"/>
    <w:basedOn w:val="10"/>
    <w:rPr>
      <w:i/>
    </w:rPr>
  </w:style>
  <w:style w:type="character" w:styleId="22">
    <w:name w:val="HTML Acronym"/>
    <w:basedOn w:val="10"/>
  </w:style>
  <w:style w:type="character" w:styleId="23">
    <w:name w:val="HTML Code"/>
    <w:basedOn w:val="10"/>
    <w:rPr>
      <w:rFonts w:ascii="Courier New" w:hAnsi="Courier New"/>
      <w:sz w:val="20"/>
      <w:szCs w:val="20"/>
    </w:rPr>
  </w:style>
  <w:style w:type="character" w:styleId="24">
    <w:name w:val="HTML Cite"/>
    <w:basedOn w:val="10"/>
    <w:rPr>
      <w:i/>
    </w:rPr>
  </w:style>
  <w:style w:type="character" w:styleId="25">
    <w:name w:val="HTML Keyboard"/>
    <w:basedOn w:val="10"/>
    <w:rPr>
      <w:rFonts w:ascii="Courier New" w:hAnsi="Courier New"/>
      <w:sz w:val="20"/>
      <w:szCs w:val="20"/>
    </w:rPr>
  </w:style>
  <w:style w:type="paragraph" w:customStyle="1" w:styleId="26">
    <w:name w:val="样式 50 10 磅"/>
    <w:autoRedefine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7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8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1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32">
    <w:name w:val="样式 小五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方正黑体_GBK" w:eastAsia="方正黑体_GBK" w:cs="Times New Roman"/>
      <w:kern w:val="2"/>
      <w:sz w:val="18"/>
      <w:szCs w:val="18"/>
      <w:lang w:val="en-US" w:eastAsia="zh-CN" w:bidi="ar-SA"/>
    </w:rPr>
  </w:style>
  <w:style w:type="paragraph" w:customStyle="1" w:styleId="33">
    <w:name w:val="样式 1 小五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方正黑体_GBK" w:eastAsia="方正黑体_GBK" w:cs="Times New Roman"/>
      <w:kern w:val="2"/>
      <w:sz w:val="18"/>
      <w:szCs w:val="18"/>
      <w:lang w:val="en-US" w:eastAsia="zh-CN" w:bidi="ar-SA"/>
    </w:rPr>
  </w:style>
  <w:style w:type="paragraph" w:customStyle="1" w:styleId="34">
    <w:name w:val="样式 23 三号"/>
    <w:autoRedefine/>
    <w:pPr>
      <w:widowControl w:val="0"/>
      <w:spacing w:line="520" w:lineRule="exact"/>
      <w:jc w:val="both"/>
    </w:pPr>
    <w:rPr>
      <w:rFonts w:ascii="方正仿宋_GBK" w:eastAsia="方正仿宋_GBK" w:cs="方正小标宋_GBK"/>
      <w:kern w:val="2"/>
      <w:sz w:val="32"/>
      <w:szCs w:val="32"/>
      <w:lang w:val="en-US" w:eastAsia="zh-CN" w:bidi="ar-SA"/>
    </w:rPr>
  </w:style>
  <w:style w:type="paragraph" w:customStyle="1" w:styleId="35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7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8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30</TotalTime>
  <Application>Yozo_Office</Application>
  <Pages>2</Pages>
  <Words>809</Words>
  <Characters>831</Characters>
  <Lines>61</Lines>
  <Paragraphs>21</Paragraphs>
  <CharactersWithSpaces>832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文静</cp:lastModifiedBy>
  <cp:revision>0</cp:revision>
  <cp:lastPrinted>2026-06-17T00:31:04Z</cp:lastPrinted>
  <dcterms:created xsi:type="dcterms:W3CDTF">2021-05-08T15:28:00Z</dcterms:created>
  <dcterms:modified xsi:type="dcterms:W3CDTF">2026-06-17T00:31:13Z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90EFA927A269FC370D2C2A6AFE0A1933_43</vt:lpwstr>
  </property>
</Properties>
</file>