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0"/>
        <w:spacing w:line="560" w:lineRule="exact"/>
        <w:jc w:val="left"/>
        <w:rPr>
          <w:rFonts w:eastAsia="方正小标宋_GBK"/>
          <w:bCs/>
          <w:snapToGrid w:val="0"/>
          <w:szCs w:val="24"/>
          <w:lang w:bidi="ar-SA"/>
        </w:rPr>
      </w:pPr>
      <w:bookmarkStart w:id="0" w:name="_GoBack"/>
      <w:bookmarkEnd w:id="0"/>
      <w:r>
        <w:rPr>
          <w:rFonts w:eastAsia="方正黑体_GBK"/>
          <w:sz w:val="32"/>
          <w:szCs w:val="32"/>
        </w:rPr>
        <w:t>附件9</w:t>
      </w:r>
    </w:p>
    <w:p>
      <w:pPr>
        <w:pStyle w:val="20"/>
        <w:spacing w:line="560" w:lineRule="exact"/>
        <w:jc w:val="center"/>
        <w:rPr>
          <w:rFonts w:eastAsia="方正小标宋_GBK"/>
          <w:sz w:val="44"/>
          <w:szCs w:val="44"/>
          <w:lang w:bidi="ar-SA"/>
        </w:rPr>
      </w:pPr>
      <w:r>
        <w:rPr>
          <w:rFonts w:eastAsia="方正小标宋_GBK"/>
          <w:bCs/>
          <w:snapToGrid w:val="0"/>
          <w:kern w:val="0"/>
          <w:sz w:val="44"/>
          <w:szCs w:val="44"/>
        </w:rPr>
        <w:t>2026年第48届世界技能大赛</w:t>
      </w:r>
      <w:r>
        <w:rPr>
          <w:rFonts w:eastAsia="方正小标宋_GBK"/>
          <w:sz w:val="44"/>
          <w:szCs w:val="44"/>
          <w:lang w:bidi="ar-SA"/>
        </w:rPr>
        <w:t>检验检疫禁止清单</w:t>
      </w:r>
    </w:p>
    <w:p>
      <w:pPr>
        <w:pStyle w:val="20"/>
        <w:spacing w:line="560" w:lineRule="exact"/>
        <w:jc w:val="center"/>
        <w:rPr>
          <w:rFonts w:eastAsia="方正小标宋_GBK"/>
          <w:sz w:val="44"/>
          <w:szCs w:val="44"/>
        </w:rPr>
      </w:pPr>
    </w:p>
    <w:tbl>
      <w:tblPr>
        <w:jc w:val="center"/>
        <w:tblW w:w="1503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4"/>
        <w:gridCol w:w="5280"/>
        <w:gridCol w:w="1695"/>
        <w:gridCol w:w="7086"/>
      </w:tblGrid>
      <w:tr>
        <w:trPr>
          <w:trHeight w:val="680"/>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21"/>
              <w:widowControl/>
              <w:spacing w:line="560" w:lineRule="exact"/>
              <w:jc w:val="center"/>
              <w:rPr>
                <w:rFonts w:ascii="方正黑体_GBK" w:eastAsia="方正黑体_GBK" w:cs="方正黑体_GBK" w:hint="eastAsia"/>
                <w:kern w:val="0"/>
                <w:sz w:val="32"/>
                <w:szCs w:val="32"/>
              </w:rPr>
            </w:pPr>
            <w:r>
              <w:rPr>
                <w:rFonts w:ascii="方正黑体_GBK" w:eastAsia="方正黑体_GBK" w:cs="方正黑体_GBK" w:hint="eastAsia"/>
                <w:kern w:val="0"/>
                <w:sz w:val="32"/>
                <w:szCs w:val="32"/>
              </w:rPr>
              <w:t>序号</w:t>
            </w:r>
          </w:p>
        </w:tc>
        <w:tc>
          <w:tcPr>
            <w:tcW w:w="5280" w:type="dxa"/>
            <w:tcBorders>
              <w:top w:val="single" w:sz="4" w:space="0" w:color="auto"/>
              <w:left w:val="nil"/>
              <w:bottom w:val="single" w:sz="4" w:space="0" w:color="auto"/>
              <w:right w:val="single" w:sz="4" w:space="0" w:color="auto"/>
            </w:tcBorders>
            <w:shd w:val="clear" w:color="auto" w:fill="auto"/>
            <w:vAlign w:val="center"/>
          </w:tcPr>
          <w:p>
            <w:pPr>
              <w:pStyle w:val="22"/>
              <w:widowControl/>
              <w:spacing w:line="560" w:lineRule="exact"/>
              <w:jc w:val="center"/>
              <w:rPr>
                <w:rFonts w:ascii="方正黑体_GBK" w:eastAsia="方正黑体_GBK" w:cs="方正黑体_GBK" w:hint="eastAsia"/>
                <w:kern w:val="0"/>
                <w:sz w:val="32"/>
                <w:szCs w:val="32"/>
              </w:rPr>
            </w:pPr>
            <w:r>
              <w:rPr>
                <w:rFonts w:ascii="方正黑体_GBK" w:eastAsia="方正黑体_GBK" w:cs="方正黑体_GBK" w:hint="eastAsia"/>
                <w:kern w:val="0"/>
                <w:sz w:val="32"/>
                <w:szCs w:val="32"/>
              </w:rPr>
              <w:t>禁止内容</w:t>
            </w:r>
          </w:p>
        </w:tc>
        <w:tc>
          <w:tcPr>
            <w:tcW w:w="1695" w:type="dxa"/>
            <w:tcBorders>
              <w:top w:val="single" w:sz="4" w:space="0" w:color="auto"/>
              <w:left w:val="nil"/>
              <w:bottom w:val="single" w:sz="4" w:space="0" w:color="auto"/>
              <w:right w:val="single" w:sz="4" w:space="0" w:color="auto"/>
            </w:tcBorders>
            <w:shd w:val="clear" w:color="auto" w:fill="auto"/>
            <w:vAlign w:val="center"/>
          </w:tcPr>
          <w:p>
            <w:pPr>
              <w:pStyle w:val="23"/>
              <w:widowControl/>
              <w:spacing w:line="560" w:lineRule="exact"/>
              <w:jc w:val="center"/>
              <w:rPr>
                <w:rFonts w:ascii="方正黑体_GBK" w:eastAsia="方正黑体_GBK" w:cs="方正黑体_GBK" w:hint="eastAsia"/>
                <w:kern w:val="0"/>
                <w:sz w:val="32"/>
                <w:szCs w:val="32"/>
              </w:rPr>
            </w:pPr>
            <w:r>
              <w:rPr>
                <w:rFonts w:ascii="方正黑体_GBK" w:eastAsia="方正黑体_GBK" w:cs="方正黑体_GBK" w:hint="eastAsia"/>
                <w:kern w:val="0"/>
                <w:sz w:val="32"/>
                <w:szCs w:val="32"/>
              </w:rPr>
              <w:t>禁止类别</w:t>
            </w:r>
          </w:p>
        </w:tc>
        <w:tc>
          <w:tcPr>
            <w:tcW w:w="7086" w:type="dxa"/>
            <w:tcBorders>
              <w:top w:val="single" w:sz="4" w:space="0" w:color="auto"/>
              <w:left w:val="nil"/>
              <w:bottom w:val="single" w:sz="4" w:space="0" w:color="auto"/>
              <w:right w:val="single" w:sz="4" w:space="0" w:color="auto"/>
            </w:tcBorders>
            <w:shd w:val="clear" w:color="auto" w:fill="auto"/>
            <w:vAlign w:val="center"/>
          </w:tcPr>
          <w:p>
            <w:pPr>
              <w:pStyle w:val="24"/>
              <w:widowControl/>
              <w:spacing w:line="560" w:lineRule="exact"/>
              <w:jc w:val="center"/>
              <w:rPr>
                <w:rFonts w:ascii="方正黑体_GBK" w:eastAsia="方正黑体_GBK" w:cs="方正黑体_GBK" w:hint="eastAsia"/>
                <w:kern w:val="0"/>
                <w:sz w:val="32"/>
                <w:szCs w:val="32"/>
              </w:rPr>
            </w:pPr>
            <w:r>
              <w:rPr>
                <w:rFonts w:ascii="方正黑体_GBK" w:eastAsia="方正黑体_GBK" w:cs="方正黑体_GBK" w:hint="eastAsia"/>
                <w:kern w:val="0"/>
                <w:sz w:val="32"/>
                <w:szCs w:val="32"/>
              </w:rPr>
              <w:t>备注</w:t>
            </w:r>
          </w:p>
        </w:tc>
      </w:tr>
      <w:tr>
        <w:trPr>
          <w:trHeight w:val="1499"/>
        </w:trPr>
        <w:tc>
          <w:tcPr>
            <w:tcW w:w="974" w:type="dxa"/>
            <w:tcBorders>
              <w:top w:val="nil"/>
              <w:left w:val="single" w:sz="4" w:space="0" w:color="auto"/>
              <w:bottom w:val="single" w:sz="4" w:space="0" w:color="auto"/>
              <w:right w:val="single" w:sz="4" w:space="0" w:color="auto"/>
            </w:tcBorders>
            <w:shd w:val="clear" w:color="auto" w:fill="auto"/>
            <w:vAlign w:val="center"/>
          </w:tcPr>
          <w:p>
            <w:pPr>
              <w:pStyle w:val="25"/>
              <w:widowControl/>
              <w:spacing w:line="560" w:lineRule="exact"/>
              <w:jc w:val="center"/>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1</w:t>
            </w:r>
          </w:p>
        </w:tc>
        <w:tc>
          <w:tcPr>
            <w:tcW w:w="5280" w:type="dxa"/>
            <w:tcBorders>
              <w:top w:val="nil"/>
              <w:left w:val="nil"/>
              <w:bottom w:val="single" w:sz="4" w:space="0" w:color="auto"/>
              <w:right w:val="single" w:sz="4" w:space="0" w:color="auto"/>
            </w:tcBorders>
            <w:shd w:val="clear" w:color="auto" w:fill="auto"/>
            <w:vAlign w:val="center"/>
          </w:tcPr>
          <w:p>
            <w:pPr>
              <w:pStyle w:val="26"/>
              <w:widowControl/>
              <w:spacing w:after="240" w:line="560" w:lineRule="exac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《中华人民共和国进出境动植物检疫法》中规定的禁止进境物：</w:t>
              <w:br/>
              <w:t xml:space="preserve">   （一）动植物病原体（包括菌种、毒种等）、害虫及其他有害生物；</w:t>
              <w:br/>
              <w:t xml:space="preserve">   （二）动植物疫情流行的国家和地区的有关动植物、动植物产品和其他检疫物；</w:t>
              <w:br/>
              <w:t xml:space="preserve">   （三）动物尸体；</w:t>
              <w:br/>
              <w:t xml:space="preserve">   （四）土壤。</w:t>
            </w:r>
          </w:p>
        </w:tc>
        <w:tc>
          <w:tcPr>
            <w:tcW w:w="1695" w:type="dxa"/>
            <w:tcBorders>
              <w:top w:val="nil"/>
              <w:left w:val="nil"/>
              <w:bottom w:val="single" w:sz="4" w:space="0" w:color="auto"/>
              <w:right w:val="single" w:sz="4" w:space="0" w:color="auto"/>
            </w:tcBorders>
            <w:shd w:val="clear" w:color="auto" w:fill="auto"/>
            <w:vAlign w:val="center"/>
          </w:tcPr>
          <w:p>
            <w:pPr>
              <w:pStyle w:val="27"/>
              <w:widowControl/>
              <w:spacing w:line="560" w:lineRule="exact"/>
              <w:jc w:val="center"/>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禁止进境</w:t>
            </w:r>
          </w:p>
        </w:tc>
        <w:tc>
          <w:tcPr>
            <w:tcW w:w="7086" w:type="dxa"/>
            <w:tcBorders>
              <w:top w:val="nil"/>
              <w:left w:val="nil"/>
              <w:bottom w:val="single" w:sz="4" w:space="0" w:color="auto"/>
              <w:right w:val="single" w:sz="4" w:space="0" w:color="auto"/>
            </w:tcBorders>
            <w:shd w:val="clear" w:color="auto" w:fill="auto"/>
            <w:vAlign w:val="center"/>
          </w:tcPr>
          <w:p>
            <w:pPr>
              <w:pStyle w:val="41"/>
              <w:adjustRightInd w:val="0"/>
              <w:snapToGrid w:val="0"/>
              <w:spacing w:line="560" w:lineRule="exact"/>
              <w:rPr>
                <w:rFonts w:eastAsia="方正仿宋_GBK"/>
                <w:kern w:val="0"/>
              </w:rPr>
            </w:pPr>
            <w:r>
              <w:rPr>
                <w:rFonts w:eastAsia="方正仿宋_GBK"/>
                <w:kern w:val="0"/>
              </w:rPr>
              <w:t>详见官方网站：</w:t>
              <w:br/>
              <w:t>1.禁止从动物疫病流行国家地区输入的动物及其产品一览表</w:t>
            </w:r>
          </w:p>
          <w:p>
            <w:pPr>
              <w:pStyle w:val="46"/>
              <w:widowControl/>
              <w:spacing w:line="560" w:lineRule="exac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lang w:val="en-US" w:eastAsia="zh-CN"/>
              </w:rPr>
              <w:t>http://dzs.customs.gov.cn/dzs/2018-05/15/article_2025123119301285807.html</w:t>
            </w:r>
            <w:r>
              <w:rPr>
                <w:rFonts w:ascii="Times New Roman" w:eastAsia="方正仿宋_GBK" w:cs="Times New Roman" w:hAnsi="Times New Roman"/>
                <w:kern w:val="0"/>
                <w:sz w:val="32"/>
                <w:szCs w:val="32"/>
              </w:rPr>
              <w:br/>
              <w:t>2.中华人民共和国进境植物检疫禁止进境物名录</w:t>
            </w:r>
          </w:p>
          <w:p>
            <w:pPr>
              <w:pStyle w:val="43"/>
              <w:adjustRightInd w:val="0"/>
              <w:snapToGrid w:val="0"/>
              <w:spacing w:line="560" w:lineRule="exact"/>
              <w:jc w:val="left"/>
              <w:rPr>
                <w:rFonts w:eastAsia="方正仿宋_GBK"/>
                <w:kern w:val="0"/>
              </w:rPr>
            </w:pPr>
            <w:r>
              <w:rPr>
                <w:rFonts w:eastAsia="方正仿宋_GBK"/>
                <w:kern w:val="0"/>
              </w:rPr>
              <w:t>3.《关于防止白蜡树枯梢病传入我国的公告》</w:t>
              <w:br/>
              <w:t>登录海关总署动植检司网站（http://</w:t>
            </w:r>
            <w:r>
              <w:rPr>
                <w:rFonts w:eastAsia="方正仿宋_GBK"/>
                <w:kern w:val="0"/>
              </w:rPr>
              <w:fldChar w:fldCharType="begin"/>
            </w:r>
            <w:r>
              <w:instrText>HYPERLINK "https://www.ndrc.gov.cn"</w:instrText>
            </w:r>
            <w:r>
              <w:rPr>
                <w:rFonts w:eastAsia="方正仿宋_GBK"/>
                <w:kern w:val="0"/>
              </w:rPr>
              <w:fldChar w:fldCharType="separate"/>
            </w:r>
            <w:r>
              <w:rPr>
                <w:rFonts w:eastAsia="方正仿宋_GBK"/>
                <w:kern w:val="0"/>
              </w:rPr>
              <w:t>dzs.customs.gov.cn</w:t>
            </w:r>
            <w:r>
              <w:rPr>
                <w:rFonts w:eastAsia="方正仿宋_GBK"/>
                <w:kern w:val="0"/>
              </w:rPr>
              <w:fldChar w:fldCharType="end"/>
            </w:r>
            <w:r>
              <w:rPr>
                <w:rFonts w:eastAsia="方正仿宋_GBK"/>
                <w:kern w:val="0"/>
              </w:rPr>
              <w:t>），进入“动植物检疫要求和警示信息”即可查询</w:t>
            </w:r>
          </w:p>
        </w:tc>
      </w:tr>
      <w:tr>
        <w:trPr>
          <w:trHeight w:val="2869"/>
        </w:trPr>
        <w:tc>
          <w:tcPr>
            <w:tcW w:w="974" w:type="dxa"/>
            <w:tcBorders>
              <w:top w:val="nil"/>
              <w:left w:val="single" w:sz="4" w:space="0" w:color="auto"/>
              <w:bottom w:val="single" w:sz="4" w:space="0" w:color="auto"/>
              <w:right w:val="single" w:sz="4" w:space="0" w:color="auto"/>
            </w:tcBorders>
            <w:shd w:val="clear" w:color="auto" w:fill="auto"/>
            <w:vAlign w:val="center"/>
          </w:tcPr>
          <w:p>
            <w:pPr>
              <w:pStyle w:val="29"/>
              <w:widowControl/>
              <w:spacing w:line="560" w:lineRule="exact"/>
              <w:jc w:val="center"/>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2</w:t>
            </w:r>
          </w:p>
        </w:tc>
        <w:tc>
          <w:tcPr>
            <w:tcW w:w="5280" w:type="dxa"/>
            <w:tcBorders>
              <w:top w:val="nil"/>
              <w:left w:val="nil"/>
              <w:bottom w:val="single" w:sz="4" w:space="0" w:color="auto"/>
              <w:right w:val="single" w:sz="4" w:space="0" w:color="auto"/>
            </w:tcBorders>
            <w:shd w:val="clear" w:color="auto" w:fill="auto"/>
            <w:vAlign w:val="center"/>
          </w:tcPr>
          <w:p>
            <w:pPr>
              <w:pStyle w:val="44"/>
              <w:widowControl/>
              <w:spacing w:line="560" w:lineRule="exac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原产地为日本的水产品（含活水生动物）；</w:t>
            </w:r>
          </w:p>
          <w:p>
            <w:pPr>
              <w:pStyle w:val="44"/>
              <w:widowControl/>
              <w:spacing w:line="560" w:lineRule="exac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来自日本福岛县、群马县、栃木县、茨城县、宫城县、新潟县（大米除外）、长野县、琦玉县、东京都、千叶县的食品、食用农产品和饲料(上述产地和涉及产品范围根据风险评估情况动态调整)</w:t>
            </w:r>
          </w:p>
        </w:tc>
        <w:tc>
          <w:tcPr>
            <w:tcW w:w="1695" w:type="dxa"/>
            <w:tcBorders>
              <w:top w:val="nil"/>
              <w:left w:val="nil"/>
              <w:bottom w:val="single" w:sz="4" w:space="0" w:color="auto"/>
              <w:right w:val="single" w:sz="4" w:space="0" w:color="auto"/>
            </w:tcBorders>
            <w:shd w:val="clear" w:color="auto" w:fill="auto"/>
            <w:vAlign w:val="center"/>
          </w:tcPr>
          <w:p>
            <w:pPr>
              <w:pStyle w:val="31"/>
              <w:widowControl/>
              <w:spacing w:line="560" w:lineRule="exact"/>
              <w:jc w:val="center"/>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禁止进境</w:t>
            </w:r>
          </w:p>
        </w:tc>
        <w:tc>
          <w:tcPr>
            <w:tcW w:w="7086" w:type="dxa"/>
            <w:tcBorders>
              <w:top w:val="nil"/>
              <w:left w:val="nil"/>
              <w:bottom w:val="single" w:sz="4" w:space="0" w:color="auto"/>
              <w:right w:val="single" w:sz="4" w:space="0" w:color="auto"/>
            </w:tcBorders>
            <w:shd w:val="clear" w:color="auto" w:fill="auto"/>
            <w:vAlign w:val="center"/>
          </w:tcPr>
          <w:p>
            <w:pPr>
              <w:pStyle w:val="32"/>
              <w:widowControl/>
              <w:spacing w:line="560" w:lineRule="exac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依据《关于进一步加强从日本进口食品农产品检验检疫监管的公告》（原国家质检总局2011年第44号公告）和《关于调整日本输华食品农产品检验检疫措施的通知》（原国质检食函〔2011〕411号），非日本10个都县生产的食品、食用农产品和饲料应提供产品原产于非禁止清单列明地区的证明材料；其中蔬菜及其制品、乳及乳制品、水产品及水生动物、茶叶及制品、水果及制品、药用植物产品还应提供放射性物质检测合格证明</w:t>
            </w:r>
          </w:p>
        </w:tc>
      </w:tr>
      <w:tr>
        <w:trPr>
          <w:trHeight w:val="2451"/>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33"/>
              <w:widowControl/>
              <w:spacing w:line="560" w:lineRule="exact"/>
              <w:jc w:val="center"/>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3</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34"/>
              <w:widowControl/>
              <w:spacing w:line="560" w:lineRule="exac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纳入禁止进口目录的旧机电产品、旧服装</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35"/>
              <w:widowControl/>
              <w:spacing w:line="560" w:lineRule="exact"/>
              <w:jc w:val="center"/>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禁止进境</w:t>
            </w:r>
          </w:p>
        </w:tc>
        <w:tc>
          <w:tcPr>
            <w:tcW w:w="708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36"/>
              <w:widowControl/>
              <w:spacing w:line="560" w:lineRule="exac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详见官方网站：</w:t>
              <w:br/>
              <w:t>1.禁止进口旧机电产品目录可向商务部查询</w:t>
            </w:r>
          </w:p>
          <w:p>
            <w:pPr>
              <w:pStyle w:val="36"/>
              <w:widowControl/>
              <w:spacing w:line="560" w:lineRule="exac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2.旧服装HS编码为6309000000</w:t>
            </w:r>
          </w:p>
        </w:tc>
      </w:tr>
    </w:tbl>
    <w:p>
      <w:pPr>
        <w:spacing w:line="560" w:lineRule="exact"/>
        <w:rPr>
          <w:sz w:val="32"/>
          <w:szCs w:val="32"/>
        </w:rPr>
      </w:pPr>
    </w:p>
    <w:sectPr>
      <w:pgSz w:w="16840" w:h="11907" w:orient="landscape"/>
      <w:pgMar w:top="1588" w:right="2098" w:bottom="1474" w:left="1985" w:header="851" w:footer="992" w:gutter="0"/>
      <w:pgNumType w:fmt="numberInDash"/>
      <w:docGrid w:type="lines" w:linePitch="312" w:charSpace="15969"/>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00000001" w:usb1="08000000" w:usb2="00000000" w:usb3="00000000" w:csb0="00040000" w:csb1="00000000"/>
  </w:font>
  <w:font w:name="方正小标宋_GBK">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仿宋_GBK">
    <w:panose1 w:val="02000000000000000000"/>
    <w:charset w:val="86"/>
    <w:family w:val="script"/>
    <w:pitch w:val="variable"/>
    <w:sig w:usb0="00000001" w:usb1="08000000" w:usb2="00000000" w:usb3="00000000" w:csb0="00040000" w:csb1="00000000"/>
  </w:font>
  <w:font w:name="宋体">
    <w:panose1 w:val="02010600030101010101"/>
    <w:charset w:val="86"/>
    <w:family w:val="auto"/>
    <w:pitch w:val="variable"/>
    <w:sig w:usb0="00000003" w:usb1="080E0000" w:usb2="00000000" w:usb3="00000000" w:csb0="00040001" w:csb1="00000000"/>
  </w:font>
  <w:font w:name="黑体">
    <w:panose1 w:val="02010609060101010101"/>
    <w:charset w:val="86"/>
    <w:family w:val="auto"/>
    <w:pitch w:val="variable"/>
    <w:sig w:usb0="800002BF" w:usb1="38CF7CFA" w:usb2="00000016" w:usb3="00000000" w:csb0="00040001" w:csb1="00000000"/>
  </w:font>
  <w:font w:name="方正兰亭黑_GBK">
    <w:altName w:val="黑体"/>
    <w:panose1 w:val="02000000000000000000"/>
    <w:charset w:val="86"/>
    <w:family w:val="script"/>
    <w:pitch w:val="variable"/>
    <w:sig w:usb0="00000000" w:usb1="00000000" w:usb2="00080016" w:usb3="00000000" w:csb0="00040001" w:csb1="00000000"/>
  </w:font>
  <w:font w:name="Lucida Sans">
    <w:panose1 w:val="020B07030405040A0204"/>
    <w:charset w:val="00"/>
    <w:family w:val="auto"/>
    <w:pitch w:val="variable"/>
    <w:sig w:usb0="00000003" w:usb1="00000000" w:usb2="00000000" w:usb3="00000000" w:csb0="20000001" w:csb1="00000000"/>
  </w:font>
  <w:font w:name="仿宋_GB2312">
    <w:altName w:val="仿宋"/>
    <w:panose1 w:val="02010609030101010101"/>
    <w:charset w:val="86"/>
    <w:family w:val="modern"/>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displayBackgroundShape/>
  <w:bordersDoNotSurroundHeader/>
  <w:bordersDoNotSurroundFooter/>
  <w:trackRevisions/>
  <w:defaultTabStop w:val="0"/>
  <w:drawingGridHorizontalSpacing w:val="143"/>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8"/>
    <w:basedOn w:val="0"/>
    <w:autoRedefine/>
    <w:next w:val="0"/>
    <w:pPr>
      <w:ind w:left="2940"/>
    </w:pPr>
  </w:style>
  <w:style w:type="paragraph" w:styleId="16">
    <w:name w:val="index 6"/>
    <w:basedOn w:val="0"/>
    <w:autoRedefine/>
    <w:next w:val="0"/>
    <w:pPr>
      <w:ind w:left="2100"/>
    </w:pPr>
  </w:style>
  <w:style w:type="paragraph" w:styleId="17">
    <w:name w:val="index 9"/>
    <w:basedOn w:val="0"/>
    <w:autoRedefine/>
    <w:next w:val="0"/>
    <w:pPr>
      <w:ind w:left="3360"/>
    </w:pPr>
  </w:style>
  <w:style w:type="character" w:styleId="18">
    <w:name w:val="Hyperlink"/>
    <w:basedOn w:val="10"/>
    <w:rPr>
      <w:color w:val="0000FF"/>
      <w:u w:val="single"/>
    </w:rPr>
  </w:style>
  <w:style w:type="paragraph" w:customStyle="1" w:styleId="19">
    <w:name w:val="公式样式 符号"/>
    <w:autoRedefine/>
    <w:rPr>
      <w:rFonts w:ascii="Times New Roman" w:eastAsia="方正兰亭黑_GBK" w:cs="Lucida Sans" w:hAnsi="Times New Roman"/>
      <w:sz w:val="20"/>
      <w:szCs w:val="20"/>
      <w:lang w:val="en-US" w:eastAsia="zh-CN" w:bidi="ar-SA"/>
    </w:rPr>
  </w:style>
  <w:style w:type="paragraph" w:customStyle="1" w:styleId="20">
    <w:name w:val="样式 3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
    <w:name w:val="样式 19 小四"/>
    <w:pPr>
      <w:widowControl w:val="0"/>
    </w:pPr>
    <w:rPr>
      <w:rFonts w:ascii="宋体" w:eastAsia="宋体" w:cs="Lucida Sans"/>
      <w:kern w:val="2"/>
      <w:sz w:val="24"/>
      <w:szCs w:val="21"/>
      <w:lang w:val="en-US" w:eastAsia="zh-CN" w:bidi="ar-SA"/>
    </w:rPr>
  </w:style>
  <w:style w:type="paragraph" w:customStyle="1" w:styleId="22">
    <w:name w:val="样式 18 小四"/>
    <w:pPr>
      <w:widowControl w:val="0"/>
    </w:pPr>
    <w:rPr>
      <w:rFonts w:ascii="宋体" w:eastAsia="宋体" w:cs="Lucida Sans"/>
      <w:kern w:val="2"/>
      <w:sz w:val="24"/>
      <w:szCs w:val="21"/>
      <w:lang w:val="en-US" w:eastAsia="zh-CN" w:bidi="ar-SA"/>
    </w:rPr>
  </w:style>
  <w:style w:type="paragraph" w:customStyle="1" w:styleId="23">
    <w:name w:val="样式 17 小四"/>
    <w:pPr>
      <w:widowControl w:val="0"/>
    </w:pPr>
    <w:rPr>
      <w:rFonts w:ascii="宋体" w:eastAsia="宋体" w:cs="Lucida Sans"/>
      <w:kern w:val="2"/>
      <w:sz w:val="24"/>
      <w:szCs w:val="21"/>
      <w:lang w:val="en-US" w:eastAsia="zh-CN" w:bidi="ar-SA"/>
    </w:rPr>
  </w:style>
  <w:style w:type="paragraph" w:customStyle="1" w:styleId="24">
    <w:name w:val="样式 16 小四"/>
    <w:pPr>
      <w:widowControl w:val="0"/>
    </w:pPr>
    <w:rPr>
      <w:rFonts w:ascii="宋体" w:eastAsia="宋体" w:cs="Lucida Sans"/>
      <w:kern w:val="2"/>
      <w:sz w:val="24"/>
      <w:szCs w:val="21"/>
      <w:lang w:val="en-US" w:eastAsia="zh-CN" w:bidi="ar-SA"/>
    </w:rPr>
  </w:style>
  <w:style w:type="paragraph" w:customStyle="1" w:styleId="25">
    <w:name w:val="样式 15 小四"/>
    <w:pPr>
      <w:widowControl w:val="0"/>
    </w:pPr>
    <w:rPr>
      <w:rFonts w:ascii="宋体" w:eastAsia="宋体" w:cs="Lucida Sans"/>
      <w:kern w:val="2"/>
      <w:sz w:val="24"/>
      <w:szCs w:val="21"/>
      <w:lang w:val="en-US" w:eastAsia="zh-CN" w:bidi="ar-SA"/>
    </w:rPr>
  </w:style>
  <w:style w:type="paragraph" w:customStyle="1" w:styleId="26">
    <w:name w:val="样式 14 小四"/>
    <w:pPr>
      <w:widowControl w:val="0"/>
    </w:pPr>
    <w:rPr>
      <w:rFonts w:ascii="宋体" w:eastAsia="宋体" w:cs="Lucida Sans"/>
      <w:kern w:val="2"/>
      <w:sz w:val="24"/>
      <w:szCs w:val="21"/>
      <w:lang w:val="en-US" w:eastAsia="zh-CN" w:bidi="ar-SA"/>
    </w:rPr>
  </w:style>
  <w:style w:type="paragraph" w:customStyle="1" w:styleId="27">
    <w:name w:val="样式 13 小四"/>
    <w:pPr>
      <w:widowControl w:val="0"/>
    </w:pPr>
    <w:rPr>
      <w:rFonts w:ascii="宋体" w:eastAsia="宋体" w:cs="Lucida Sans"/>
      <w:kern w:val="2"/>
      <w:sz w:val="24"/>
      <w:szCs w:val="21"/>
      <w:lang w:val="en-US" w:eastAsia="zh-CN" w:bidi="ar-SA"/>
    </w:rPr>
  </w:style>
  <w:style w:type="paragraph" w:customStyle="1" w:styleId="28">
    <w:name w:val="样式 12 小四"/>
    <w:pPr>
      <w:widowControl w:val="0"/>
    </w:pPr>
    <w:rPr>
      <w:rFonts w:ascii="宋体" w:eastAsia="宋体" w:cs="Lucida Sans"/>
      <w:kern w:val="2"/>
      <w:sz w:val="24"/>
      <w:szCs w:val="21"/>
      <w:lang w:val="en-US" w:eastAsia="zh-CN" w:bidi="ar-SA"/>
    </w:rPr>
  </w:style>
  <w:style w:type="paragraph" w:customStyle="1" w:styleId="29">
    <w:name w:val="样式 11 小四"/>
    <w:pPr>
      <w:widowControl w:val="0"/>
    </w:pPr>
    <w:rPr>
      <w:rFonts w:ascii="宋体" w:eastAsia="宋体" w:cs="Lucida Sans"/>
      <w:kern w:val="2"/>
      <w:sz w:val="24"/>
      <w:szCs w:val="21"/>
      <w:lang w:val="en-US" w:eastAsia="zh-CN" w:bidi="ar-SA"/>
    </w:rPr>
  </w:style>
  <w:style w:type="paragraph" w:customStyle="1" w:styleId="30">
    <w:name w:val="样式 10 小四"/>
    <w:pPr>
      <w:widowControl w:val="0"/>
    </w:pPr>
    <w:rPr>
      <w:rFonts w:ascii="宋体" w:eastAsia="宋体" w:cs="Lucida Sans"/>
      <w:kern w:val="2"/>
      <w:sz w:val="24"/>
      <w:szCs w:val="21"/>
      <w:lang w:val="en-US" w:eastAsia="zh-CN" w:bidi="ar-SA"/>
    </w:rPr>
  </w:style>
  <w:style w:type="paragraph" w:customStyle="1" w:styleId="31">
    <w:name w:val="样式 9 小四"/>
    <w:pPr>
      <w:widowControl w:val="0"/>
    </w:pPr>
    <w:rPr>
      <w:rFonts w:ascii="宋体" w:eastAsia="宋体" w:cs="Lucida Sans"/>
      <w:kern w:val="2"/>
      <w:sz w:val="24"/>
      <w:szCs w:val="21"/>
      <w:lang w:val="en-US" w:eastAsia="zh-CN" w:bidi="ar-SA"/>
    </w:rPr>
  </w:style>
  <w:style w:type="paragraph" w:customStyle="1" w:styleId="32">
    <w:name w:val="样式 8 小四"/>
    <w:pPr>
      <w:widowControl w:val="0"/>
    </w:pPr>
    <w:rPr>
      <w:rFonts w:ascii="宋体" w:eastAsia="宋体" w:cs="Lucida Sans"/>
      <w:kern w:val="2"/>
      <w:sz w:val="24"/>
      <w:szCs w:val="21"/>
      <w:lang w:val="en-US" w:eastAsia="zh-CN" w:bidi="ar-SA"/>
    </w:rPr>
  </w:style>
  <w:style w:type="paragraph" w:customStyle="1" w:styleId="33">
    <w:name w:val="样式 7 小四"/>
    <w:pPr>
      <w:widowControl w:val="0"/>
    </w:pPr>
    <w:rPr>
      <w:rFonts w:ascii="宋体" w:eastAsia="宋体" w:cs="Lucida Sans"/>
      <w:kern w:val="2"/>
      <w:sz w:val="24"/>
      <w:szCs w:val="21"/>
      <w:lang w:val="en-US" w:eastAsia="zh-CN" w:bidi="ar-SA"/>
    </w:rPr>
  </w:style>
  <w:style w:type="paragraph" w:customStyle="1" w:styleId="34">
    <w:name w:val="样式 6 小四"/>
    <w:pPr>
      <w:widowControl w:val="0"/>
    </w:pPr>
    <w:rPr>
      <w:rFonts w:ascii="宋体" w:eastAsia="宋体" w:cs="Lucida Sans"/>
      <w:kern w:val="2"/>
      <w:sz w:val="24"/>
      <w:szCs w:val="21"/>
      <w:lang w:val="en-US" w:eastAsia="zh-CN" w:bidi="ar-SA"/>
    </w:rPr>
  </w:style>
  <w:style w:type="paragraph" w:customStyle="1" w:styleId="35">
    <w:name w:val="样式 5 小四"/>
    <w:pPr>
      <w:widowControl w:val="0"/>
    </w:pPr>
    <w:rPr>
      <w:rFonts w:ascii="宋体" w:eastAsia="宋体" w:cs="Lucida Sans"/>
      <w:kern w:val="2"/>
      <w:sz w:val="24"/>
      <w:szCs w:val="21"/>
      <w:lang w:val="en-US" w:eastAsia="zh-CN" w:bidi="ar-SA"/>
    </w:rPr>
  </w:style>
  <w:style w:type="paragraph" w:customStyle="1" w:styleId="36">
    <w:name w:val="样式 3 小四"/>
    <w:pPr>
      <w:widowControl w:val="0"/>
    </w:pPr>
    <w:rPr>
      <w:rFonts w:ascii="宋体" w:eastAsia="宋体" w:cs="Lucida Sans"/>
      <w:kern w:val="2"/>
      <w:sz w:val="24"/>
      <w:szCs w:val="21"/>
      <w:lang w:val="en-US" w:eastAsia="zh-CN" w:bidi="ar-SA"/>
    </w:rPr>
  </w:style>
  <w:style w:type="paragraph" w:customStyle="1" w:styleId="37">
    <w:name w:val="样式 二号"/>
    <w:pPr>
      <w:widowControl w:val="0"/>
      <w:jc w:val="both"/>
    </w:pPr>
    <w:rPr>
      <w:rFonts w:ascii="Times New Roman" w:eastAsia="仿宋_GB2312" w:cs="Times New Roman" w:hAnsi="Times New Roman"/>
      <w:kern w:val="2"/>
      <w:sz w:val="44"/>
      <w:szCs w:val="44"/>
      <w:lang w:val="en-US" w:eastAsia="zh-CN" w:bidi="ar-SA"/>
    </w:rPr>
  </w:style>
  <w:style w:type="paragraph" w:customStyle="1" w:styleId="38">
    <w:name w:val="样式 1 二号"/>
    <w:pPr>
      <w:widowControl w:val="0"/>
      <w:jc w:val="both"/>
    </w:pPr>
    <w:rPr>
      <w:rFonts w:ascii="Times New Roman" w:eastAsia="仿宋_GB2312" w:cs="Times New Roman" w:hAnsi="Times New Roman"/>
      <w:kern w:val="2"/>
      <w:sz w:val="44"/>
      <w:szCs w:val="44"/>
      <w:lang w:val="en-US" w:eastAsia="zh-CN" w:bidi="ar-SA"/>
    </w:rPr>
  </w:style>
  <w:style w:type="paragraph" w:customStyle="1" w:styleId="39">
    <w:name w:val="样式 2 二号"/>
    <w:pPr>
      <w:widowControl w:val="0"/>
      <w:jc w:val="both"/>
    </w:pPr>
    <w:rPr>
      <w:rFonts w:ascii="Times New Roman" w:eastAsia="仿宋_GB2312" w:cs="Times New Roman" w:hAnsi="Times New Roman"/>
      <w:kern w:val="2"/>
      <w:sz w:val="44"/>
      <w:szCs w:val="44"/>
      <w:lang w:val="en-US" w:eastAsia="zh-CN" w:bidi="ar-SA"/>
    </w:rPr>
  </w:style>
  <w:style w:type="paragraph" w:customStyle="1" w:styleId="40">
    <w:name w:val="样式 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41">
    <w:name w:val="样式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42">
    <w:name w:val="样式 小四"/>
    <w:pPr>
      <w:widowControl w:val="0"/>
    </w:pPr>
    <w:rPr>
      <w:rFonts w:ascii="宋体" w:eastAsia="宋体" w:cs="Lucida Sans"/>
      <w:kern w:val="2"/>
      <w:sz w:val="24"/>
      <w:szCs w:val="21"/>
      <w:lang w:val="en-US" w:eastAsia="zh-CN" w:bidi="ar-SA"/>
    </w:rPr>
  </w:style>
  <w:style w:type="paragraph" w:customStyle="1" w:styleId="43">
    <w:name w:val="样式 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44">
    <w:name w:val="样式 1 小四"/>
    <w:pPr>
      <w:widowControl w:val="0"/>
    </w:pPr>
    <w:rPr>
      <w:rFonts w:ascii="宋体" w:eastAsia="宋体" w:cs="Lucida Sans"/>
      <w:kern w:val="2"/>
      <w:sz w:val="24"/>
      <w:szCs w:val="21"/>
      <w:lang w:val="en-US" w:eastAsia="zh-CN" w:bidi="ar-SA"/>
    </w:rPr>
  </w:style>
  <w:style w:type="paragraph" w:customStyle="1" w:styleId="45">
    <w:name w:val="样式 2 小四"/>
    <w:pPr>
      <w:widowControl w:val="0"/>
    </w:pPr>
    <w:rPr>
      <w:rFonts w:ascii="宋体" w:eastAsia="宋体" w:cs="Lucida Sans"/>
      <w:kern w:val="2"/>
      <w:sz w:val="24"/>
      <w:szCs w:val="21"/>
      <w:lang w:val="en-US" w:eastAsia="zh-CN" w:bidi="ar-SA"/>
    </w:rPr>
  </w:style>
  <w:style w:type="paragraph" w:customStyle="1" w:styleId="46">
    <w:name w:val="样式 4 小四"/>
    <w:pPr>
      <w:widowControl w:val="0"/>
    </w:pPr>
    <w:rPr>
      <w:rFonts w:ascii="宋体" w:eastAsia="宋体" w:cs="Lucida Sans"/>
      <w:kern w:val="2"/>
      <w:sz w:val="24"/>
      <w:szCs w:val="21"/>
      <w:lang w:val="en-US" w:eastAsia="zh-CN" w:bidi="ar-SA"/>
    </w:rPr>
  </w:style>
  <w:style w:type="paragraph" w:customStyle="1" w:styleId="47">
    <w:name w:val="样式 20 小四"/>
    <w:pPr>
      <w:widowControl w:val="0"/>
    </w:pPr>
    <w:rPr>
      <w:rFonts w:ascii="宋体" w:eastAsia="宋体" w:cs="Lucida Sans"/>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30</TotalTime>
  <Application>Yozo_Office</Application>
  <Pages>2</Pages>
  <Words>611</Words>
  <Characters>736</Characters>
  <Lines>56</Lines>
  <Paragraphs>22</Paragraphs>
  <CharactersWithSpaces>756</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文静</cp:lastModifiedBy>
  <cp:revision>0</cp:revision>
  <dcterms:created xsi:type="dcterms:W3CDTF">2021-05-08T23:28:00Z</dcterms:created>
  <dcterms:modified xsi:type="dcterms:W3CDTF">2026-06-17T00:33:37Z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2052-12.9.0.21590</vt:lpwstr>
  </property>
  <property fmtid="{D5CDD505-2E9C-101B-9397-08002B2CF9AE}" pid="3" name="ICV">
    <vt:lpwstr>187F753B59A48ACA28F3306AF8EDB5AB_43</vt:lpwstr>
  </property>
</Properties>
</file>