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关于《国家税务总局福建省税务局关于土地增值税征收管理若干事项的公告》的解读</w:t>
      </w:r>
    </w:p>
    <w:p>
      <w:pPr>
        <w:ind w:firstLine="640" w:firstLineChars="200"/>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为方便政策理解和执行，现就《国家税务总局福建省税务局关于土地增值税征收管理若干事项的公告》</w:t>
      </w:r>
      <w:r>
        <w:rPr>
          <w:rFonts w:hint="eastAsia" w:ascii="仿宋_GB2312" w:hAnsi="仿宋_GB2312" w:eastAsia="仿宋_GB2312" w:cs="仿宋_GB2312"/>
          <w:b w:val="0"/>
          <w:bCs w:val="0"/>
          <w:color w:val="000000"/>
          <w:kern w:val="2"/>
          <w:sz w:val="32"/>
          <w:szCs w:val="32"/>
          <w:highlight w:val="none"/>
          <w:lang w:val="en" w:eastAsia="zh-CN" w:bidi="ar-SA"/>
        </w:rPr>
        <w:t>（以下简称《公告》）相关事项解读如下：</w:t>
      </w:r>
    </w:p>
    <w:p>
      <w:pPr>
        <w:pageBreakBefore w:val="0"/>
        <w:widowControl w:val="0"/>
        <w:numPr>
          <w:ilvl w:val="0"/>
          <w:numId w:val="1"/>
        </w:numPr>
        <w:kinsoku/>
        <w:wordWrap/>
        <w:topLinePunct w:val="0"/>
        <w:bidi w:val="0"/>
        <w:spacing w:line="560" w:lineRule="exact"/>
        <w:ind w:firstLine="640" w:firstLineChars="200"/>
        <w:jc w:val="both"/>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出台背景</w:t>
      </w:r>
    </w:p>
    <w:p>
      <w:pPr>
        <w:pStyle w:val="8"/>
        <w:pageBreakBefore w:val="0"/>
        <w:widowControl w:val="0"/>
        <w:numPr>
          <w:ilvl w:val="0"/>
          <w:numId w:val="0"/>
        </w:numPr>
        <w:kinsoku/>
        <w:wordWrap/>
        <w:topLinePunct w:val="0"/>
        <w:bidi w:val="0"/>
        <w:spacing w:line="560" w:lineRule="exact"/>
        <w:ind w:firstLine="640" w:firstLineChars="200"/>
        <w:jc w:val="both"/>
        <w:rPr>
          <w:rFonts w:hint="eastAsia" w:ascii="黑体" w:hAnsi="黑体" w:eastAsia="黑体" w:cs="黑体"/>
          <w:color w:val="00000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近年来，房地产市场变化较快，地域差距逐渐加大，新情况、新问题层出不穷，但土地增值税的整体税制框架基本保持不变。为贯彻落实总局关于规范政策征管执行口径、持续提高政策确定性的要求，进一步促进维护税收法治公平、防范执法风险，国家税务总局福建省税务局在充分调研和广泛征求意见的基础上，结合我省征管实际，制发《公告》，就房地产开发</w:t>
      </w:r>
      <w:r>
        <w:rPr>
          <w:rFonts w:hint="eastAsia" w:cs="仿宋_GB2312"/>
          <w:b w:val="0"/>
          <w:bCs w:val="0"/>
          <w:color w:val="000000"/>
          <w:kern w:val="2"/>
          <w:sz w:val="32"/>
          <w:szCs w:val="32"/>
          <w:highlight w:val="none"/>
          <w:lang w:val="en-US" w:eastAsia="zh-CN" w:bidi="ar-SA"/>
        </w:rPr>
        <w:t>企业</w:t>
      </w:r>
      <w:r>
        <w:rPr>
          <w:rFonts w:hint="eastAsia" w:ascii="仿宋_GB2312" w:hAnsi="仿宋_GB2312" w:eastAsia="仿宋_GB2312" w:cs="仿宋_GB2312"/>
          <w:b w:val="0"/>
          <w:bCs w:val="0"/>
          <w:color w:val="000000"/>
          <w:kern w:val="2"/>
          <w:sz w:val="32"/>
          <w:szCs w:val="32"/>
          <w:highlight w:val="none"/>
          <w:lang w:val="en-US" w:eastAsia="zh-CN" w:bidi="ar-SA"/>
        </w:rPr>
        <w:t>的土地增值税征管相关</w:t>
      </w:r>
      <w:r>
        <w:rPr>
          <w:rFonts w:hint="eastAsia" w:cs="仿宋_GB2312"/>
          <w:b w:val="0"/>
          <w:bCs w:val="0"/>
          <w:color w:val="000000"/>
          <w:kern w:val="2"/>
          <w:sz w:val="32"/>
          <w:szCs w:val="32"/>
          <w:highlight w:val="none"/>
          <w:lang w:val="en-US" w:eastAsia="zh-CN" w:bidi="ar-SA"/>
        </w:rPr>
        <w:t>事项</w:t>
      </w:r>
      <w:r>
        <w:rPr>
          <w:rFonts w:hint="eastAsia" w:ascii="仿宋_GB2312" w:hAnsi="仿宋_GB2312" w:eastAsia="仿宋_GB2312" w:cs="仿宋_GB2312"/>
          <w:b w:val="0"/>
          <w:bCs w:val="0"/>
          <w:color w:val="000000"/>
          <w:kern w:val="2"/>
          <w:sz w:val="32"/>
          <w:szCs w:val="32"/>
          <w:highlight w:val="none"/>
          <w:lang w:val="en-US" w:eastAsia="zh-CN" w:bidi="ar-SA"/>
        </w:rPr>
        <w:t>予以明确。</w:t>
      </w:r>
      <w:r>
        <w:rPr>
          <w:rFonts w:hint="eastAsia" w:ascii="仿宋_GB2312" w:hAnsi="仿宋_GB2312" w:eastAsia="仿宋_GB2312" w:cs="仿宋_GB2312"/>
          <w:b w:val="0"/>
          <w:bCs w:val="0"/>
          <w:color w:val="000000"/>
          <w:kern w:val="2"/>
          <w:sz w:val="32"/>
          <w:szCs w:val="32"/>
          <w:highlight w:val="none"/>
          <w:lang w:val="en-US" w:eastAsia="zh-CN" w:bidi="ar-SA"/>
        </w:rPr>
        <w:br w:type="textWrapping"/>
      </w:r>
      <w:r>
        <w:rPr>
          <w:rFonts w:hint="eastAsia" w:ascii="黑体" w:hAnsi="黑体" w:eastAsia="黑体" w:cs="黑体"/>
          <w:color w:val="000000"/>
          <w:kern w:val="2"/>
          <w:sz w:val="32"/>
          <w:szCs w:val="32"/>
          <w:lang w:val="en-US" w:eastAsia="zh-CN" w:bidi="ar-SA"/>
        </w:rPr>
        <w:t xml:space="preserve">    二、主要内容</w:t>
      </w:r>
    </w:p>
    <w:p>
      <w:pPr>
        <w:pageBreakBefore w:val="0"/>
        <w:widowControl w:val="0"/>
        <w:kinsoku/>
        <w:wordWrap/>
        <w:topLinePunct w:val="0"/>
        <w:bidi w:val="0"/>
        <w:spacing w:line="560"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《公告》共</w:t>
      </w:r>
      <w:r>
        <w:rPr>
          <w:rFonts w:hint="eastAsia"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lang w:val="en-US" w:eastAsia="zh-CN"/>
        </w:rPr>
        <w:t>条，逐条解读如下：</w:t>
      </w:r>
    </w:p>
    <w:p>
      <w:pPr>
        <w:pStyle w:val="4"/>
        <w:keepNext w:val="0"/>
        <w:keepLines w:val="0"/>
        <w:pageBreakBefore w:val="0"/>
        <w:widowControl w:val="0"/>
        <w:numPr>
          <w:ilvl w:val="0"/>
          <w:numId w:val="2"/>
        </w:numPr>
        <w:kinsoku/>
        <w:wordWrap/>
        <w:overflowPunct w:val="0"/>
        <w:topLinePunct w:val="0"/>
        <w:autoSpaceDE w:val="0"/>
        <w:autoSpaceDN w:val="0"/>
        <w:bidi w:val="0"/>
        <w:adjustRightInd w:val="0"/>
        <w:snapToGrid/>
        <w:spacing w:after="0" w:line="560" w:lineRule="exact"/>
        <w:ind w:firstLine="643" w:firstLineChars="200"/>
        <w:jc w:val="both"/>
        <w:textAlignment w:val="baseline"/>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第一条明确了清算单位的确定原则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《国家税务总局关于房地产开发企业土地增值税清算管理有关问题的通知》（国税发〔2006〕187号）规定，以国家有关部门审批的房地产开发项目为</w:t>
      </w:r>
      <w:r>
        <w:rPr>
          <w:rFonts w:hint="eastAsia" w:cs="仿宋_GB2312"/>
          <w:b w:val="0"/>
          <w:bCs/>
          <w:color w:val="000000"/>
          <w:sz w:val="32"/>
          <w:szCs w:val="32"/>
          <w:lang w:val="en-US" w:eastAsia="zh-CN"/>
        </w:rPr>
        <w:t>清算</w:t>
      </w:r>
      <w:r>
        <w:rPr>
          <w:rFonts w:hint="eastAsia" w:ascii="仿宋_GB2312" w:hAnsi="仿宋_GB2312" w:eastAsia="仿宋_GB2312" w:cs="仿宋_GB2312"/>
          <w:b w:val="0"/>
          <w:bCs/>
          <w:color w:val="000000"/>
          <w:sz w:val="32"/>
          <w:szCs w:val="32"/>
          <w:lang w:val="en-US" w:eastAsia="zh-CN"/>
        </w:rPr>
        <w:t>单位。《公告》</w:t>
      </w:r>
      <w:r>
        <w:rPr>
          <w:rFonts w:hint="eastAsia" w:cs="仿宋_GB2312"/>
          <w:b w:val="0"/>
          <w:bCs/>
          <w:color w:val="000000"/>
          <w:sz w:val="32"/>
          <w:szCs w:val="32"/>
          <w:lang w:val="en-US" w:eastAsia="zh-CN"/>
        </w:rPr>
        <w:t>进一步</w:t>
      </w:r>
      <w:r>
        <w:rPr>
          <w:rFonts w:hint="eastAsia" w:ascii="仿宋_GB2312" w:hAnsi="仿宋_GB2312" w:eastAsia="仿宋_GB2312" w:cs="仿宋_GB2312"/>
          <w:b w:val="0"/>
          <w:bCs/>
          <w:color w:val="000000"/>
          <w:sz w:val="32"/>
          <w:szCs w:val="32"/>
          <w:lang w:val="en-US" w:eastAsia="zh-CN"/>
        </w:rPr>
        <w:t>明确按照建设工程规划许可证</w:t>
      </w:r>
      <w:r>
        <w:rPr>
          <w:rFonts w:hint="eastAsia" w:cs="仿宋_GB2312"/>
          <w:b w:val="0"/>
          <w:bCs/>
          <w:color w:val="000000"/>
          <w:sz w:val="32"/>
          <w:szCs w:val="32"/>
          <w:lang w:val="en-US" w:eastAsia="zh-CN"/>
        </w:rPr>
        <w:t>载明</w:t>
      </w:r>
      <w:r>
        <w:rPr>
          <w:rFonts w:hint="eastAsia" w:ascii="仿宋_GB2312" w:hAnsi="仿宋_GB2312" w:eastAsia="仿宋_GB2312" w:cs="仿宋_GB2312"/>
          <w:b w:val="0"/>
          <w:bCs/>
          <w:color w:val="000000"/>
          <w:sz w:val="32"/>
          <w:szCs w:val="32"/>
          <w:lang w:val="en-US" w:eastAsia="zh-CN"/>
        </w:rPr>
        <w:t>的开发项目确</w:t>
      </w:r>
      <w:r>
        <w:rPr>
          <w:rFonts w:hint="eastAsia" w:cs="仿宋_GB2312"/>
          <w:b w:val="0"/>
          <w:bCs/>
          <w:color w:val="000000"/>
          <w:sz w:val="32"/>
          <w:szCs w:val="32"/>
          <w:lang w:val="en-US" w:eastAsia="zh-CN"/>
        </w:rPr>
        <w:t>定</w:t>
      </w:r>
      <w:r>
        <w:rPr>
          <w:rFonts w:hint="eastAsia" w:ascii="仿宋_GB2312" w:hAnsi="仿宋_GB2312" w:eastAsia="仿宋_GB2312" w:cs="仿宋_GB2312"/>
          <w:b w:val="0"/>
          <w:bCs/>
          <w:color w:val="000000"/>
          <w:sz w:val="32"/>
          <w:szCs w:val="32"/>
          <w:lang w:val="en-US" w:eastAsia="zh-CN"/>
        </w:rPr>
        <w:t>清算单位。</w:t>
      </w:r>
      <w:r>
        <w:rPr>
          <w:rFonts w:hint="eastAsia" w:cs="仿宋_GB2312"/>
          <w:b w:val="0"/>
          <w:bCs/>
          <w:color w:val="000000"/>
          <w:sz w:val="32"/>
          <w:szCs w:val="32"/>
          <w:lang w:val="en-US" w:eastAsia="zh-CN"/>
        </w:rPr>
        <w:t>同时考虑到实际中存在</w:t>
      </w:r>
      <w:r>
        <w:rPr>
          <w:rFonts w:hint="eastAsia" w:ascii="仿宋_GB2312" w:hAnsi="仿宋_GB2312" w:eastAsia="仿宋_GB2312" w:cs="仿宋_GB2312"/>
          <w:color w:val="000000"/>
          <w:sz w:val="32"/>
          <w:szCs w:val="32"/>
          <w:highlight w:val="none"/>
          <w:lang w:val="en-US" w:eastAsia="zh-CN"/>
        </w:rPr>
        <w:t>审批或备案的同一项目含多本建设工程规划许可证的</w:t>
      </w:r>
      <w:r>
        <w:rPr>
          <w:rFonts w:hint="eastAsia" w:cs="仿宋_GB2312"/>
          <w:color w:val="000000"/>
          <w:sz w:val="32"/>
          <w:szCs w:val="32"/>
          <w:highlight w:val="none"/>
          <w:lang w:val="en-US" w:eastAsia="zh-CN"/>
        </w:rPr>
        <w:t>情形</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b w:val="0"/>
          <w:bCs/>
          <w:color w:val="000000"/>
          <w:sz w:val="32"/>
          <w:szCs w:val="32"/>
          <w:lang w:val="en-US" w:eastAsia="zh-CN"/>
        </w:rPr>
        <w:t>《公告》明确</w:t>
      </w:r>
      <w:r>
        <w:rPr>
          <w:rFonts w:hint="eastAsia" w:cs="仿宋_GB2312"/>
          <w:color w:val="000000"/>
          <w:sz w:val="32"/>
          <w:szCs w:val="32"/>
          <w:highlight w:val="none"/>
          <w:lang w:val="en-US" w:eastAsia="zh-CN"/>
        </w:rPr>
        <w:t>税务机关</w:t>
      </w:r>
      <w:r>
        <w:rPr>
          <w:rFonts w:hint="eastAsia" w:ascii="仿宋_GB2312" w:hAnsi="仿宋_GB2312" w:eastAsia="仿宋_GB2312" w:cs="仿宋_GB2312"/>
          <w:color w:val="000000"/>
          <w:sz w:val="32"/>
          <w:szCs w:val="32"/>
          <w:highlight w:val="none"/>
          <w:lang w:val="en-US" w:eastAsia="zh-CN"/>
        </w:rPr>
        <w:t>在受理清算申报之前，可依纳税人申请</w:t>
      </w:r>
      <w:r>
        <w:rPr>
          <w:rFonts w:hint="eastAsia" w:ascii="仿宋_GB2312" w:hAnsi="仿宋_GB2312" w:eastAsia="仿宋_GB2312" w:cs="仿宋_GB2312"/>
          <w:b w:val="0"/>
          <w:bCs/>
          <w:color w:val="000000"/>
          <w:sz w:val="32"/>
          <w:szCs w:val="32"/>
          <w:lang w:val="en-US" w:eastAsia="zh-CN"/>
        </w:rPr>
        <w:t>把发改部门审批或备案的同一项目下的</w:t>
      </w:r>
      <w:r>
        <w:rPr>
          <w:rFonts w:hint="eastAsia" w:cs="仿宋_GB2312"/>
          <w:b w:val="0"/>
          <w:bCs/>
          <w:color w:val="000000"/>
          <w:sz w:val="32"/>
          <w:szCs w:val="32"/>
          <w:lang w:val="en-US" w:eastAsia="zh-CN"/>
        </w:rPr>
        <w:t>建设</w:t>
      </w:r>
      <w:r>
        <w:rPr>
          <w:rFonts w:hint="eastAsia" w:ascii="仿宋_GB2312" w:hAnsi="仿宋_GB2312" w:eastAsia="仿宋_GB2312" w:cs="仿宋_GB2312"/>
          <w:b w:val="0"/>
          <w:bCs/>
          <w:color w:val="000000"/>
          <w:sz w:val="32"/>
          <w:szCs w:val="32"/>
          <w:lang w:val="en-US" w:eastAsia="zh-CN"/>
        </w:rPr>
        <w:t>工程规划许可证间隔时间在12个月内</w:t>
      </w:r>
      <w:r>
        <w:rPr>
          <w:rFonts w:hint="eastAsia" w:cs="仿宋_GB2312"/>
          <w:b w:val="0"/>
          <w:bCs/>
          <w:color w:val="000000"/>
          <w:sz w:val="32"/>
          <w:szCs w:val="32"/>
          <w:lang w:val="en-US" w:eastAsia="zh-CN"/>
        </w:rPr>
        <w:t>、</w:t>
      </w:r>
      <w:r>
        <w:rPr>
          <w:rFonts w:hint="eastAsia" w:ascii="方正仿宋_GBK" w:hAnsi="方正仿宋_GBK" w:eastAsia="方正仿宋_GBK" w:cs="方正仿宋_GBK"/>
          <w:b w:val="0"/>
          <w:bCs w:val="0"/>
          <w:color w:val="000000"/>
          <w:sz w:val="32"/>
          <w:szCs w:val="32"/>
          <w:highlight w:val="none"/>
          <w:lang w:val="en-US" w:eastAsia="zh-CN"/>
        </w:rPr>
        <w:t>相邻连片开发</w:t>
      </w:r>
      <w:r>
        <w:rPr>
          <w:rFonts w:hint="eastAsia" w:ascii="仿宋_GB2312" w:hAnsi="仿宋_GB2312" w:eastAsia="仿宋_GB2312" w:cs="仿宋_GB2312"/>
          <w:b w:val="0"/>
          <w:bCs/>
          <w:color w:val="000000"/>
          <w:sz w:val="32"/>
          <w:szCs w:val="32"/>
          <w:lang w:val="en-US" w:eastAsia="zh-CN"/>
        </w:rPr>
        <w:t>且按同一成本对象进行会计核算的开发项目合并为一个清算单位。公共配套设施如单独办理工程规划许可证的，不受上述间隔时间限制。</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3" w:firstLineChars="200"/>
        <w:jc w:val="both"/>
        <w:textAlignment w:val="auto"/>
        <w:outlineLvl w:val="9"/>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第二条明确了特定销售行为的认定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lang w:val="en-US" w:eastAsia="zh-CN"/>
        </w:rPr>
        <w:t>一是</w:t>
      </w:r>
      <w:r>
        <w:rPr>
          <w:rFonts w:hint="eastAsia" w:cs="仿宋_GB2312"/>
          <w:color w:val="000000"/>
          <w:sz w:val="32"/>
          <w:szCs w:val="32"/>
          <w:lang w:val="en-US" w:eastAsia="zh-CN"/>
        </w:rPr>
        <w:t>明确了</w:t>
      </w:r>
      <w:r>
        <w:rPr>
          <w:rFonts w:hint="eastAsia" w:ascii="仿宋_GB2312" w:hAnsi="仿宋_GB2312" w:eastAsia="仿宋_GB2312" w:cs="仿宋_GB2312"/>
          <w:color w:val="000000"/>
          <w:sz w:val="32"/>
          <w:szCs w:val="32"/>
          <w:highlight w:val="none"/>
          <w:lang w:val="en-US" w:eastAsia="zh-CN"/>
        </w:rPr>
        <w:t>纳税人委托第三方销售房地产</w:t>
      </w:r>
      <w:r>
        <w:rPr>
          <w:rFonts w:hint="eastAsia" w:cs="仿宋_GB2312"/>
          <w:color w:val="000000"/>
          <w:sz w:val="32"/>
          <w:szCs w:val="32"/>
          <w:highlight w:val="none"/>
          <w:lang w:val="en-US" w:eastAsia="zh-CN"/>
        </w:rPr>
        <w:t>时如何确认销售收入。若</w:t>
      </w:r>
      <w:r>
        <w:rPr>
          <w:rFonts w:hint="eastAsia" w:ascii="仿宋_GB2312" w:hAnsi="仿宋_GB2312" w:eastAsia="仿宋_GB2312" w:cs="仿宋_GB2312"/>
          <w:color w:val="000000"/>
          <w:sz w:val="32"/>
          <w:szCs w:val="32"/>
          <w:highlight w:val="none"/>
          <w:lang w:val="en-US" w:eastAsia="zh-CN"/>
        </w:rPr>
        <w:t>不动产权未转移到第三方名下的，以向购房人实际收取的价款作为销售收入；</w:t>
      </w:r>
      <w:r>
        <w:rPr>
          <w:rFonts w:hint="eastAsia" w:cs="仿宋_GB2312"/>
          <w:color w:val="000000"/>
          <w:sz w:val="32"/>
          <w:szCs w:val="32"/>
          <w:highlight w:val="none"/>
          <w:lang w:val="en-US" w:eastAsia="zh-CN"/>
        </w:rPr>
        <w:t>若</w:t>
      </w:r>
      <w:r>
        <w:rPr>
          <w:rFonts w:hint="eastAsia" w:ascii="仿宋_GB2312" w:hAnsi="仿宋_GB2312" w:eastAsia="仿宋_GB2312" w:cs="仿宋_GB2312"/>
          <w:color w:val="000000"/>
          <w:sz w:val="32"/>
          <w:szCs w:val="32"/>
          <w:highlight w:val="none"/>
          <w:lang w:val="en-US" w:eastAsia="zh-CN"/>
        </w:rPr>
        <w:t>房地产不动产权转移到第三方名下的，以其与第三方的结算价款作为销售收入，同时第三方的对外销售行为应按转让</w:t>
      </w:r>
      <w:r>
        <w:rPr>
          <w:rFonts w:hint="default" w:cs="仿宋_GB2312"/>
          <w:color w:val="000000"/>
          <w:sz w:val="32"/>
          <w:szCs w:val="32"/>
          <w:highlight w:val="none"/>
          <w:lang w:val="en" w:eastAsia="zh-CN"/>
        </w:rPr>
        <w:t>存量房</w:t>
      </w:r>
      <w:r>
        <w:rPr>
          <w:rFonts w:hint="eastAsia" w:ascii="仿宋_GB2312" w:hAnsi="仿宋_GB2312" w:eastAsia="仿宋_GB2312" w:cs="仿宋_GB2312"/>
          <w:color w:val="000000"/>
          <w:sz w:val="32"/>
          <w:szCs w:val="32"/>
          <w:highlight w:val="none"/>
          <w:lang w:val="en-US" w:eastAsia="zh-CN"/>
        </w:rPr>
        <w:t>征收土地增值税。</w:t>
      </w:r>
      <w:r>
        <w:rPr>
          <w:rFonts w:hint="eastAsia" w:cs="仿宋_GB2312"/>
          <w:color w:val="000000"/>
          <w:sz w:val="32"/>
          <w:szCs w:val="32"/>
          <w:highlight w:val="none"/>
          <w:lang w:val="en-US" w:eastAsia="zh-CN"/>
        </w:rPr>
        <w:t>结算价格明显偏低的，应按市场价格确认销售收入，并按照以下顺序确认市场价格：1.</w:t>
      </w:r>
      <w:r>
        <w:rPr>
          <w:rFonts w:hint="eastAsia" w:ascii="仿宋_GB2312" w:hAnsi="仿宋_GB2312" w:eastAsia="仿宋_GB2312" w:cs="仿宋_GB2312"/>
          <w:color w:val="000000"/>
          <w:sz w:val="32"/>
          <w:szCs w:val="32"/>
          <w:highlight w:val="none"/>
          <w:lang w:val="en-US" w:eastAsia="zh-CN"/>
        </w:rPr>
        <w:t>按本清算项目同期同类房地产的平均售价；</w:t>
      </w:r>
      <w:r>
        <w:rPr>
          <w:rFonts w:hint="eastAsia"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eastAsia="zh-CN"/>
        </w:rPr>
        <w:t>按本企业本地区同期同类房地产的平均售价；</w:t>
      </w:r>
      <w:r>
        <w:rPr>
          <w:rFonts w:hint="eastAsia"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en-US" w:eastAsia="zh-CN"/>
        </w:rPr>
        <w:t>按本地区同期同类房地产的市场价格或评估价值；</w:t>
      </w:r>
      <w:r>
        <w:rPr>
          <w:rFonts w:hint="eastAsia"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lang w:val="en-US" w:eastAsia="zh-CN"/>
        </w:rPr>
        <w:t>无法获得前述价格的，可参照增值税组成计税价格确定。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color w:val="000000"/>
          <w:lang w:val="en" w:eastAsia="zh-CN"/>
        </w:rPr>
      </w:pPr>
      <w:r>
        <w:rPr>
          <w:rFonts w:hint="eastAsia" w:ascii="仿宋_GB2312" w:hAnsi="仿宋_GB2312" w:eastAsia="仿宋_GB2312" w:cs="仿宋_GB2312"/>
          <w:b w:val="0"/>
          <w:bCs w:val="0"/>
          <w:color w:val="000000"/>
          <w:kern w:val="2"/>
          <w:sz w:val="32"/>
          <w:szCs w:val="32"/>
          <w:highlight w:val="none"/>
          <w:lang w:val="en-US" w:eastAsia="zh-CN" w:bidi="ar-SA"/>
        </w:rPr>
        <w:t>二是明确</w:t>
      </w:r>
      <w:r>
        <w:rPr>
          <w:rFonts w:hint="default" w:cs="仿宋_GB2312"/>
          <w:b w:val="0"/>
          <w:bCs w:val="0"/>
          <w:color w:val="000000"/>
          <w:kern w:val="2"/>
          <w:sz w:val="32"/>
          <w:szCs w:val="32"/>
          <w:highlight w:val="none"/>
          <w:lang w:val="en" w:eastAsia="zh-CN" w:bidi="ar-SA"/>
        </w:rPr>
        <w:t>已装修的房屋取得</w:t>
      </w:r>
      <w:r>
        <w:rPr>
          <w:rFonts w:hint="eastAsia" w:ascii="仿宋_GB2312" w:hAnsi="仿宋_GB2312" w:eastAsia="仿宋_GB2312" w:cs="仿宋_GB2312"/>
          <w:b w:val="0"/>
          <w:bCs w:val="0"/>
          <w:color w:val="000000"/>
          <w:kern w:val="2"/>
          <w:sz w:val="32"/>
          <w:szCs w:val="32"/>
          <w:highlight w:val="none"/>
          <w:lang w:val="en-US" w:eastAsia="zh-CN" w:bidi="ar-SA"/>
        </w:rPr>
        <w:t>的</w:t>
      </w:r>
      <w:r>
        <w:rPr>
          <w:rFonts w:hint="default" w:cs="仿宋_GB2312"/>
          <w:b w:val="0"/>
          <w:bCs w:val="0"/>
          <w:color w:val="000000"/>
          <w:kern w:val="2"/>
          <w:sz w:val="32"/>
          <w:szCs w:val="32"/>
          <w:highlight w:val="none"/>
          <w:lang w:val="en" w:eastAsia="zh-CN" w:bidi="ar-SA"/>
        </w:rPr>
        <w:t>装修</w:t>
      </w:r>
      <w:r>
        <w:rPr>
          <w:rFonts w:hint="eastAsia" w:ascii="仿宋_GB2312" w:hAnsi="仿宋_GB2312" w:eastAsia="仿宋_GB2312" w:cs="仿宋_GB2312"/>
          <w:b w:val="0"/>
          <w:bCs w:val="0"/>
          <w:color w:val="000000"/>
          <w:kern w:val="2"/>
          <w:sz w:val="32"/>
          <w:szCs w:val="32"/>
          <w:highlight w:val="none"/>
          <w:lang w:val="en-US" w:eastAsia="zh-CN" w:bidi="ar-SA"/>
        </w:rPr>
        <w:t>收入确认和成本扣除规则。</w:t>
      </w:r>
      <w:r>
        <w:rPr>
          <w:rFonts w:hint="eastAsia" w:ascii="仿宋_GB2312" w:hAnsi="仿宋_GB2312" w:eastAsia="仿宋_GB2312" w:cs="仿宋_GB2312"/>
          <w:color w:val="000000"/>
          <w:sz w:val="32"/>
          <w:szCs w:val="32"/>
          <w:highlight w:val="none"/>
          <w:lang w:val="en-US" w:eastAsia="zh-CN"/>
        </w:rPr>
        <w:t>纳税人销售</w:t>
      </w:r>
      <w:r>
        <w:rPr>
          <w:rFonts w:hint="default" w:cs="仿宋_GB2312"/>
          <w:b w:val="0"/>
          <w:bCs w:val="0"/>
          <w:color w:val="000000"/>
          <w:kern w:val="2"/>
          <w:sz w:val="32"/>
          <w:szCs w:val="32"/>
          <w:highlight w:val="none"/>
          <w:lang w:val="en" w:eastAsia="zh-CN" w:bidi="ar-SA"/>
        </w:rPr>
        <w:t>已装修的房屋</w:t>
      </w:r>
      <w:r>
        <w:rPr>
          <w:rFonts w:hint="eastAsia" w:ascii="仿宋_GB2312" w:hAnsi="仿宋_GB2312" w:eastAsia="仿宋_GB2312" w:cs="仿宋_GB2312"/>
          <w:color w:val="000000"/>
          <w:sz w:val="32"/>
          <w:szCs w:val="32"/>
          <w:highlight w:val="none"/>
          <w:lang w:val="en-US" w:eastAsia="zh-CN"/>
        </w:rPr>
        <w:t>，无论装修收入由其直接收取还是由其关联方收取，均应作为转让房地产取得的收入；</w:t>
      </w:r>
      <w:r>
        <w:rPr>
          <w:rFonts w:hint="default" w:cs="仿宋_GB2312"/>
          <w:b w:val="0"/>
          <w:bCs w:val="0"/>
          <w:color w:val="000000"/>
          <w:kern w:val="2"/>
          <w:sz w:val="32"/>
          <w:szCs w:val="32"/>
          <w:highlight w:val="none"/>
          <w:lang w:val="en" w:eastAsia="zh-CN" w:bidi="ar-SA"/>
        </w:rPr>
        <w:t>已装修的房屋</w:t>
      </w:r>
      <w:r>
        <w:rPr>
          <w:rFonts w:hint="eastAsia" w:ascii="仿宋_GB2312" w:hAnsi="仿宋_GB2312" w:eastAsia="仿宋_GB2312" w:cs="仿宋_GB2312"/>
          <w:color w:val="000000"/>
          <w:sz w:val="32"/>
          <w:szCs w:val="32"/>
          <w:highlight w:val="none"/>
          <w:lang w:val="en-US" w:eastAsia="zh-CN"/>
        </w:rPr>
        <w:t>发生的</w:t>
      </w:r>
      <w:r>
        <w:rPr>
          <w:rFonts w:hint="eastAsia" w:cs="仿宋_GB2312"/>
          <w:color w:val="000000"/>
          <w:sz w:val="32"/>
          <w:szCs w:val="32"/>
          <w:highlight w:val="none"/>
          <w:lang w:val="en-US" w:eastAsia="zh-CN"/>
        </w:rPr>
        <w:t>合理</w:t>
      </w:r>
      <w:r>
        <w:rPr>
          <w:rFonts w:hint="eastAsia" w:ascii="仿宋_GB2312" w:hAnsi="仿宋_GB2312" w:eastAsia="仿宋_GB2312" w:cs="仿宋_GB2312"/>
          <w:color w:val="000000"/>
          <w:sz w:val="32"/>
          <w:szCs w:val="32"/>
          <w:highlight w:val="none"/>
          <w:lang w:val="en-US" w:eastAsia="zh-CN"/>
        </w:rPr>
        <w:t>装修费用可以作为房地产开发成本扣除；但</w:t>
      </w:r>
      <w:r>
        <w:rPr>
          <w:rFonts w:hint="default" w:cs="仿宋_GB2312"/>
          <w:b w:val="0"/>
          <w:bCs w:val="0"/>
          <w:color w:val="000000"/>
          <w:kern w:val="2"/>
          <w:sz w:val="32"/>
          <w:szCs w:val="32"/>
          <w:highlight w:val="none"/>
          <w:lang w:val="en" w:eastAsia="zh-CN" w:bidi="ar-SA"/>
        </w:rPr>
        <w:t>已装修的房屋</w:t>
      </w:r>
      <w:r>
        <w:rPr>
          <w:rFonts w:hint="eastAsia" w:ascii="仿宋_GB2312" w:hAnsi="仿宋_GB2312" w:eastAsia="仿宋_GB2312" w:cs="仿宋_GB2312"/>
          <w:color w:val="000000"/>
          <w:sz w:val="32"/>
          <w:szCs w:val="32"/>
          <w:highlight w:val="none"/>
          <w:lang w:val="en-US" w:eastAsia="zh-CN"/>
        </w:rPr>
        <w:t>配备家用电器</w:t>
      </w:r>
      <w:r>
        <w:rPr>
          <w:rFonts w:hint="eastAsia"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家具</w:t>
      </w:r>
      <w:r>
        <w:rPr>
          <w:rFonts w:hint="eastAsia" w:cs="仿宋_GB2312"/>
          <w:color w:val="000000"/>
          <w:sz w:val="32"/>
          <w:szCs w:val="32"/>
          <w:highlight w:val="none"/>
          <w:lang w:val="en-US" w:eastAsia="zh-CN"/>
        </w:rPr>
        <w:t>和装饰摆件等</w:t>
      </w:r>
      <w:r>
        <w:rPr>
          <w:rFonts w:hint="default" w:cs="仿宋_GB2312"/>
          <w:color w:val="000000"/>
          <w:sz w:val="32"/>
          <w:szCs w:val="32"/>
          <w:highlight w:val="none"/>
          <w:lang w:val="en" w:eastAsia="zh-CN"/>
        </w:rPr>
        <w:t>可移动</w:t>
      </w:r>
      <w:r>
        <w:rPr>
          <w:rFonts w:hint="eastAsia" w:cs="仿宋_GB2312"/>
          <w:color w:val="000000"/>
          <w:sz w:val="32"/>
          <w:szCs w:val="32"/>
          <w:highlight w:val="none"/>
          <w:lang w:val="en" w:eastAsia="zh-CN"/>
        </w:rPr>
        <w:t>物品</w:t>
      </w:r>
      <w:r>
        <w:rPr>
          <w:rFonts w:hint="eastAsia" w:ascii="仿宋_GB2312" w:hAnsi="仿宋_GB2312" w:eastAsia="仿宋_GB2312" w:cs="仿宋_GB2312"/>
          <w:color w:val="000000"/>
          <w:sz w:val="32"/>
          <w:szCs w:val="32"/>
          <w:highlight w:val="none"/>
          <w:lang w:val="en-US" w:eastAsia="zh-CN"/>
        </w:rPr>
        <w:t>不计入房地产</w:t>
      </w:r>
      <w:r>
        <w:rPr>
          <w:rFonts w:hint="eastAsia" w:cs="仿宋_GB2312"/>
          <w:color w:val="000000"/>
          <w:sz w:val="32"/>
          <w:szCs w:val="32"/>
          <w:highlight w:val="none"/>
          <w:lang w:val="en-US" w:eastAsia="zh-CN"/>
        </w:rPr>
        <w:t>销售收入</w:t>
      </w:r>
      <w:r>
        <w:rPr>
          <w:rFonts w:hint="eastAsia" w:ascii="仿宋_GB2312" w:hAnsi="仿宋_GB2312" w:eastAsia="仿宋_GB2312" w:cs="仿宋_GB2312"/>
          <w:color w:val="000000"/>
          <w:sz w:val="32"/>
          <w:szCs w:val="32"/>
          <w:highlight w:val="none"/>
          <w:lang w:val="en-US" w:eastAsia="zh-CN"/>
        </w:rPr>
        <w:t>，也不</w:t>
      </w:r>
      <w:r>
        <w:rPr>
          <w:rFonts w:hint="eastAsia" w:cs="仿宋_GB2312"/>
          <w:color w:val="000000"/>
          <w:sz w:val="32"/>
          <w:szCs w:val="32"/>
          <w:highlight w:val="none"/>
          <w:lang w:val="en-US" w:eastAsia="zh-CN"/>
        </w:rPr>
        <w:t>得</w:t>
      </w:r>
      <w:r>
        <w:rPr>
          <w:rFonts w:hint="eastAsia" w:ascii="仿宋_GB2312" w:hAnsi="仿宋_GB2312" w:eastAsia="仿宋_GB2312" w:cs="仿宋_GB2312"/>
          <w:color w:val="000000"/>
          <w:sz w:val="32"/>
          <w:szCs w:val="32"/>
          <w:highlight w:val="none"/>
          <w:lang w:val="en-US" w:eastAsia="zh-CN"/>
        </w:rPr>
        <w:t>扣除相应的成本费用。</w:t>
      </w:r>
    </w:p>
    <w:p>
      <w:pPr>
        <w:pStyle w:val="4"/>
        <w:keepNext w:val="0"/>
        <w:keepLines w:val="0"/>
        <w:pageBreakBefore w:val="0"/>
        <w:widowControl w:val="0"/>
        <w:numPr>
          <w:ilvl w:val="0"/>
          <w:numId w:val="2"/>
        </w:numPr>
        <w:kinsoku/>
        <w:wordWrap/>
        <w:overflowPunct w:val="0"/>
        <w:topLinePunct w:val="0"/>
        <w:autoSpaceDE w:val="0"/>
        <w:autoSpaceDN w:val="0"/>
        <w:bidi w:val="0"/>
        <w:adjustRightInd w:val="0"/>
        <w:snapToGrid/>
        <w:spacing w:after="0" w:line="560" w:lineRule="exact"/>
        <w:ind w:left="0" w:leftChars="0" w:firstLine="643" w:firstLineChars="200"/>
        <w:jc w:val="both"/>
        <w:textAlignment w:val="baseline"/>
        <w:rPr>
          <w:rFonts w:hint="eastAsia" w:ascii="仿宋_GB2312" w:hAnsi="仿宋_GB2312" w:eastAsia="仿宋_GB2312" w:cs="仿宋_GB2312"/>
          <w:b/>
          <w:bCs/>
          <w:color w:val="000000"/>
          <w:sz w:val="32"/>
          <w:szCs w:val="32"/>
          <w:lang w:val="en" w:eastAsia="zh-CN"/>
        </w:rPr>
      </w:pPr>
      <w:r>
        <w:rPr>
          <w:rFonts w:hint="eastAsia" w:ascii="仿宋_GB2312" w:hAnsi="仿宋_GB2312" w:eastAsia="仿宋_GB2312" w:cs="仿宋_GB2312"/>
          <w:b/>
          <w:bCs/>
          <w:color w:val="000000"/>
          <w:sz w:val="32"/>
          <w:szCs w:val="32"/>
          <w:lang w:val="en" w:eastAsia="zh-CN"/>
        </w:rPr>
        <w:t>第</w:t>
      </w:r>
      <w:r>
        <w:rPr>
          <w:rFonts w:hint="default" w:ascii="仿宋_GB2312" w:hAnsi="仿宋_GB2312" w:eastAsia="仿宋_GB2312" w:cs="仿宋_GB2312"/>
          <w:b/>
          <w:bCs/>
          <w:color w:val="000000"/>
          <w:sz w:val="32"/>
          <w:szCs w:val="32"/>
          <w:lang w:val="en" w:eastAsia="zh-CN"/>
        </w:rPr>
        <w:t>三</w:t>
      </w:r>
      <w:r>
        <w:rPr>
          <w:rFonts w:hint="eastAsia" w:ascii="仿宋_GB2312" w:hAnsi="仿宋_GB2312" w:eastAsia="仿宋_GB2312" w:cs="仿宋_GB2312"/>
          <w:b/>
          <w:bCs/>
          <w:color w:val="000000"/>
          <w:sz w:val="32"/>
          <w:szCs w:val="32"/>
          <w:lang w:val="en" w:eastAsia="zh-CN"/>
        </w:rPr>
        <w:t>条明确了核定征收的有关事项</w:t>
      </w:r>
    </w:p>
    <w:p>
      <w:pPr>
        <w:pStyle w:val="4"/>
        <w:pageBreakBefore w:val="0"/>
        <w:widowControl w:val="0"/>
        <w:numPr>
          <w:ilvl w:val="0"/>
          <w:numId w:val="0"/>
        </w:numPr>
        <w:kinsoku/>
        <w:wordWrap/>
        <w:topLinePunct w:val="0"/>
        <w:bidi w:val="0"/>
        <w:spacing w:after="0" w:line="560" w:lineRule="exact"/>
        <w:ind w:leftChars="0"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 w:eastAsia="zh-CN"/>
        </w:rPr>
        <w:t>一是考虑到当前商业房地产的市场行情，</w:t>
      </w:r>
      <w:r>
        <w:rPr>
          <w:rFonts w:hint="eastAsia" w:ascii="仿宋_GB2312" w:hAnsi="仿宋_GB2312" w:eastAsia="仿宋_GB2312" w:cs="仿宋_GB2312"/>
          <w:color w:val="000000"/>
          <w:sz w:val="32"/>
          <w:szCs w:val="32"/>
          <w:lang w:val="en-US" w:eastAsia="zh-CN"/>
        </w:rPr>
        <w:t>《公告》对非住宅的核定征收率下限进行了调整，从原来的不低于6%下调至不低于5%。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000000"/>
          <w:lang w:val="en-US" w:eastAsia="zh-CN"/>
        </w:rPr>
      </w:pPr>
      <w:r>
        <w:rPr>
          <w:rFonts w:hint="eastAsia" w:ascii="仿宋_GB2312" w:hAnsi="仿宋_GB2312" w:eastAsia="仿宋_GB2312" w:cs="仿宋_GB2312"/>
          <w:color w:val="000000"/>
          <w:sz w:val="32"/>
          <w:szCs w:val="32"/>
          <w:lang w:val="en-US" w:eastAsia="zh-CN"/>
        </w:rPr>
        <w:t>二是</w:t>
      </w:r>
      <w:r>
        <w:rPr>
          <w:rFonts w:hint="eastAsia" w:cs="仿宋_GB2312"/>
          <w:color w:val="000000"/>
          <w:sz w:val="32"/>
          <w:szCs w:val="32"/>
          <w:highlight w:val="none"/>
          <w:lang w:val="en-US" w:eastAsia="zh-CN"/>
        </w:rPr>
        <w:t>明确了工程造价成本的测算方法，为清算人员确定核定征收率提供了基本遵循，进一步规范土地增值税的核定征收管理。</w:t>
      </w:r>
    </w:p>
    <w:p>
      <w:pPr>
        <w:pStyle w:val="4"/>
        <w:keepNext w:val="0"/>
        <w:keepLines w:val="0"/>
        <w:pageBreakBefore w:val="0"/>
        <w:widowControl w:val="0"/>
        <w:numPr>
          <w:ilvl w:val="0"/>
          <w:numId w:val="2"/>
        </w:numPr>
        <w:kinsoku/>
        <w:wordWrap/>
        <w:overflowPunct w:val="0"/>
        <w:topLinePunct w:val="0"/>
        <w:autoSpaceDE w:val="0"/>
        <w:autoSpaceDN w:val="0"/>
        <w:bidi w:val="0"/>
        <w:adjustRightInd w:val="0"/>
        <w:snapToGrid/>
        <w:spacing w:after="0" w:line="560" w:lineRule="exact"/>
        <w:ind w:left="0" w:leftChars="0" w:firstLine="643" w:firstLineChars="200"/>
        <w:jc w:val="both"/>
        <w:textAlignment w:val="baseline"/>
        <w:rPr>
          <w:rFonts w:hint="eastAsia" w:ascii="仿宋_GB2312" w:hAnsi="仿宋_GB2312" w:eastAsia="仿宋_GB2312" w:cs="仿宋_GB2312"/>
          <w:b/>
          <w:bCs/>
          <w:color w:val="000000"/>
          <w:sz w:val="32"/>
          <w:szCs w:val="32"/>
          <w:highlight w:val="none"/>
          <w:lang w:val="en" w:eastAsia="zh-CN"/>
        </w:rPr>
      </w:pPr>
      <w:r>
        <w:rPr>
          <w:rFonts w:hint="eastAsia" w:ascii="仿宋_GB2312" w:hAnsi="仿宋_GB2312" w:eastAsia="仿宋_GB2312" w:cs="仿宋_GB2312"/>
          <w:b/>
          <w:bCs/>
          <w:color w:val="000000"/>
          <w:sz w:val="32"/>
          <w:szCs w:val="32"/>
          <w:highlight w:val="none"/>
          <w:lang w:val="en" w:eastAsia="zh-CN"/>
        </w:rPr>
        <w:t>第四条明确了成本费用分摊方式的顺序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cs="仿宋_GB2312"/>
          <w:color w:val="000000"/>
          <w:sz w:val="32"/>
          <w:szCs w:val="32"/>
          <w:highlight w:val="none"/>
          <w:lang w:val="en" w:eastAsia="zh-CN"/>
        </w:rPr>
      </w:pPr>
      <w:r>
        <w:rPr>
          <w:rFonts w:hint="eastAsia" w:ascii="仿宋_GB2312" w:hAnsi="仿宋_GB2312" w:eastAsia="仿宋_GB2312" w:cs="仿宋_GB2312"/>
          <w:color w:val="000000"/>
          <w:sz w:val="32"/>
          <w:szCs w:val="32"/>
          <w:highlight w:val="none"/>
          <w:lang w:val="en" w:eastAsia="zh-CN"/>
        </w:rPr>
        <w:t>现行《土地增值税暂行条例》以及《土地增值税清算管理规程》</w:t>
      </w:r>
      <w:r>
        <w:rPr>
          <w:rFonts w:hint="eastAsia" w:cs="仿宋_GB2312"/>
          <w:color w:val="000000"/>
          <w:sz w:val="32"/>
          <w:szCs w:val="32"/>
          <w:highlight w:val="none"/>
          <w:lang w:val="en" w:eastAsia="zh-CN"/>
        </w:rPr>
        <w:t>虽然</w:t>
      </w:r>
      <w:r>
        <w:rPr>
          <w:rFonts w:hint="eastAsia" w:ascii="仿宋_GB2312" w:hAnsi="仿宋_GB2312" w:eastAsia="仿宋_GB2312" w:cs="仿宋_GB2312"/>
          <w:color w:val="000000"/>
          <w:sz w:val="32"/>
          <w:szCs w:val="32"/>
          <w:highlight w:val="none"/>
          <w:lang w:val="en" w:eastAsia="zh-CN"/>
        </w:rPr>
        <w:t>明确了成本费用分摊</w:t>
      </w:r>
      <w:r>
        <w:rPr>
          <w:rFonts w:hint="eastAsia" w:cs="仿宋_GB2312"/>
          <w:color w:val="000000"/>
          <w:sz w:val="32"/>
          <w:szCs w:val="32"/>
          <w:highlight w:val="none"/>
          <w:lang w:val="en" w:eastAsia="zh-CN"/>
        </w:rPr>
        <w:t>方式</w:t>
      </w:r>
      <w:r>
        <w:rPr>
          <w:rFonts w:hint="eastAsia" w:ascii="仿宋_GB2312" w:hAnsi="仿宋_GB2312" w:eastAsia="仿宋_GB2312" w:cs="仿宋_GB2312"/>
          <w:color w:val="000000"/>
          <w:sz w:val="32"/>
          <w:szCs w:val="32"/>
          <w:highlight w:val="none"/>
          <w:lang w:val="en" w:eastAsia="zh-CN"/>
        </w:rPr>
        <w:t>的</w:t>
      </w:r>
      <w:r>
        <w:rPr>
          <w:rFonts w:hint="eastAsia" w:cs="仿宋_GB2312"/>
          <w:color w:val="000000"/>
          <w:sz w:val="32"/>
          <w:szCs w:val="32"/>
          <w:highlight w:val="none"/>
          <w:lang w:val="en" w:eastAsia="zh-CN"/>
        </w:rPr>
        <w:t>基本</w:t>
      </w:r>
      <w:r>
        <w:rPr>
          <w:rFonts w:hint="eastAsia" w:ascii="仿宋_GB2312" w:hAnsi="仿宋_GB2312" w:eastAsia="仿宋_GB2312" w:cs="仿宋_GB2312"/>
          <w:color w:val="000000"/>
          <w:sz w:val="32"/>
          <w:szCs w:val="32"/>
          <w:highlight w:val="none"/>
          <w:lang w:val="en" w:eastAsia="zh-CN"/>
        </w:rPr>
        <w:t>原则，</w:t>
      </w:r>
      <w:r>
        <w:rPr>
          <w:rFonts w:hint="eastAsia" w:cs="仿宋_GB2312"/>
          <w:color w:val="000000"/>
          <w:sz w:val="32"/>
          <w:szCs w:val="32"/>
          <w:highlight w:val="none"/>
          <w:lang w:val="en" w:eastAsia="zh-CN"/>
        </w:rPr>
        <w:t>但同时提供了按占地面积分摊、按建筑面积分摊、按税务机关认为的其他合理方式分摊等多种选择，未明确</w:t>
      </w:r>
      <w:r>
        <w:rPr>
          <w:rFonts w:hint="eastAsia" w:ascii="仿宋_GB2312" w:hAnsi="仿宋_GB2312" w:eastAsia="仿宋_GB2312" w:cs="仿宋_GB2312"/>
          <w:color w:val="000000"/>
          <w:sz w:val="32"/>
          <w:szCs w:val="32"/>
          <w:highlight w:val="none"/>
          <w:lang w:val="en" w:eastAsia="zh-CN"/>
        </w:rPr>
        <w:t>成本分摊方式的适用</w:t>
      </w:r>
      <w:r>
        <w:rPr>
          <w:rFonts w:hint="eastAsia" w:cs="仿宋_GB2312"/>
          <w:color w:val="000000"/>
          <w:sz w:val="32"/>
          <w:szCs w:val="32"/>
          <w:highlight w:val="none"/>
          <w:lang w:val="en" w:eastAsia="zh-CN"/>
        </w:rPr>
        <w:t>顺序，实务中各地税务机关执行方式不一，容易产生涉税争议。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cs="仿宋_GB2312"/>
          <w:color w:val="000000"/>
          <w:sz w:val="32"/>
          <w:szCs w:val="32"/>
          <w:highlight w:val="none"/>
          <w:lang w:val="en" w:eastAsia="zh-CN"/>
        </w:rPr>
      </w:pPr>
      <w:r>
        <w:rPr>
          <w:rFonts w:hint="eastAsia" w:cs="仿宋_GB2312"/>
          <w:color w:val="000000"/>
          <w:sz w:val="32"/>
          <w:szCs w:val="32"/>
          <w:highlight w:val="none"/>
          <w:lang w:val="en" w:eastAsia="zh-CN"/>
        </w:rPr>
        <w:t>为防范执法风险，</w:t>
      </w:r>
      <w:r>
        <w:rPr>
          <w:rFonts w:hint="eastAsia" w:ascii="仿宋_GB2312" w:hAnsi="仿宋_GB2312" w:eastAsia="仿宋_GB2312" w:cs="仿宋_GB2312"/>
          <w:color w:val="000000"/>
          <w:sz w:val="32"/>
          <w:szCs w:val="32"/>
          <w:highlight w:val="none"/>
          <w:lang w:val="en" w:eastAsia="zh-CN"/>
        </w:rPr>
        <w:t>《公告》</w:t>
      </w:r>
      <w:r>
        <w:rPr>
          <w:rFonts w:hint="eastAsia" w:cs="仿宋_GB2312"/>
          <w:color w:val="000000"/>
          <w:sz w:val="32"/>
          <w:szCs w:val="32"/>
          <w:highlight w:val="none"/>
          <w:lang w:val="en" w:eastAsia="zh-CN"/>
        </w:rPr>
        <w:t>在上位法规定的基础上，</w:t>
      </w:r>
      <w:r>
        <w:rPr>
          <w:rFonts w:hint="eastAsia" w:ascii="仿宋_GB2312" w:hAnsi="仿宋_GB2312" w:eastAsia="仿宋_GB2312" w:cs="仿宋_GB2312"/>
          <w:color w:val="000000"/>
          <w:sz w:val="32"/>
          <w:szCs w:val="32"/>
          <w:highlight w:val="none"/>
          <w:lang w:val="en" w:eastAsia="zh-CN"/>
        </w:rPr>
        <w:t>进一步</w:t>
      </w:r>
      <w:r>
        <w:rPr>
          <w:rFonts w:hint="eastAsia" w:cs="仿宋_GB2312"/>
          <w:color w:val="000000"/>
          <w:sz w:val="32"/>
          <w:szCs w:val="32"/>
          <w:highlight w:val="none"/>
          <w:lang w:val="en" w:eastAsia="zh-CN"/>
        </w:rPr>
        <w:t>明确</w:t>
      </w:r>
      <w:r>
        <w:rPr>
          <w:rFonts w:hint="eastAsia" w:ascii="仿宋_GB2312" w:hAnsi="仿宋_GB2312" w:eastAsia="仿宋_GB2312" w:cs="仿宋_GB2312"/>
          <w:color w:val="000000"/>
          <w:sz w:val="32"/>
          <w:szCs w:val="32"/>
          <w:highlight w:val="none"/>
          <w:lang w:val="en" w:eastAsia="zh-CN"/>
        </w:rPr>
        <w:t>成本费用分摊方式的适用顺序</w:t>
      </w:r>
      <w:r>
        <w:rPr>
          <w:rFonts w:hint="eastAsia" w:cs="仿宋_GB2312"/>
          <w:color w:val="000000"/>
          <w:sz w:val="32"/>
          <w:szCs w:val="32"/>
          <w:highlight w:val="none"/>
          <w:lang w:val="e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cs="仿宋_GB2312"/>
          <w:color w:val="000000"/>
          <w:sz w:val="32"/>
          <w:szCs w:val="32"/>
          <w:highlight w:val="none"/>
          <w:lang w:val="en" w:eastAsia="zh-CN"/>
        </w:rPr>
      </w:pPr>
      <w:r>
        <w:rPr>
          <w:rFonts w:hint="eastAsia"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val="en" w:eastAsia="zh-CN"/>
        </w:rPr>
        <w:t>对可以确定受益对象且能直接归集的，优先采用受益对象法</w:t>
      </w:r>
      <w:r>
        <w:rPr>
          <w:rFonts w:hint="eastAsia" w:cs="仿宋_GB2312"/>
          <w:color w:val="000000"/>
          <w:sz w:val="32"/>
          <w:szCs w:val="32"/>
          <w:highlight w:val="none"/>
          <w:lang w:val="en" w:eastAsia="zh-CN"/>
        </w:rPr>
        <w:t>直接</w:t>
      </w:r>
      <w:r>
        <w:rPr>
          <w:rFonts w:hint="eastAsia" w:ascii="仿宋_GB2312" w:hAnsi="仿宋_GB2312" w:eastAsia="仿宋_GB2312" w:cs="仿宋_GB2312"/>
          <w:color w:val="000000"/>
          <w:sz w:val="32"/>
          <w:szCs w:val="32"/>
          <w:highlight w:val="none"/>
          <w:lang w:val="en" w:eastAsia="zh-CN"/>
        </w:rPr>
        <w:t>归集相应成本费用</w:t>
      </w:r>
      <w:r>
        <w:rPr>
          <w:rFonts w:hint="eastAsia" w:cs="仿宋_GB2312"/>
          <w:color w:val="000000"/>
          <w:sz w:val="32"/>
          <w:szCs w:val="32"/>
          <w:highlight w:val="none"/>
          <w:lang w:val="e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cs="仿宋_GB2312"/>
          <w:color w:val="000000"/>
          <w:sz w:val="32"/>
          <w:szCs w:val="32"/>
          <w:highlight w:val="none"/>
          <w:lang w:val="en-US" w:eastAsia="zh-CN"/>
        </w:rPr>
      </w:pPr>
      <w:r>
        <w:rPr>
          <w:rFonts w:hint="eastAsia"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 w:eastAsia="zh-CN"/>
        </w:rPr>
        <w:t>对无法确定受益对象的不同清算单位的共同成本，其中</w:t>
      </w:r>
      <w:r>
        <w:rPr>
          <w:rFonts w:hint="eastAsia" w:ascii="仿宋_GB2312" w:hAnsi="仿宋_GB2312" w:eastAsia="仿宋_GB2312" w:cs="仿宋_GB2312"/>
          <w:color w:val="000000"/>
          <w:sz w:val="32"/>
          <w:szCs w:val="32"/>
          <w:highlight w:val="none"/>
          <w:lang w:val="en-US" w:eastAsia="zh-CN"/>
        </w:rPr>
        <w:t>“取得土地使用权所支付的金额”和“土地征用及拆迁补偿费”，</w:t>
      </w:r>
      <w:r>
        <w:rPr>
          <w:rFonts w:hint="eastAsia" w:cs="仿宋_GB2312"/>
          <w:color w:val="000000"/>
          <w:sz w:val="32"/>
          <w:szCs w:val="32"/>
          <w:highlight w:val="none"/>
          <w:lang w:val="en-US" w:eastAsia="zh-CN"/>
        </w:rPr>
        <w:t>原则上</w:t>
      </w:r>
      <w:r>
        <w:rPr>
          <w:rFonts w:hint="eastAsia" w:ascii="仿宋_GB2312" w:hAnsi="仿宋_GB2312" w:eastAsia="仿宋_GB2312" w:cs="仿宋_GB2312"/>
          <w:color w:val="000000"/>
          <w:sz w:val="32"/>
          <w:szCs w:val="32"/>
          <w:highlight w:val="none"/>
          <w:lang w:val="en-US" w:eastAsia="zh-CN"/>
        </w:rPr>
        <w:t>按照占地面积计算分摊</w:t>
      </w:r>
      <w:r>
        <w:rPr>
          <w:rFonts w:hint="eastAsia"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其他成本费用原则上按照可售建筑面积计算分摊</w:t>
      </w:r>
      <w:r>
        <w:rPr>
          <w:rFonts w:hint="eastAsia" w:cs="仿宋_GB2312"/>
          <w:color w:val="00000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 w:eastAsia="zh-CN"/>
        </w:rPr>
      </w:pPr>
      <w:r>
        <w:rPr>
          <w:rFonts w:hint="eastAsia"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en-US" w:eastAsia="zh-CN"/>
        </w:rPr>
        <w:t>对同一清算单位内的共同成本费用，原则上按照可售建筑面积计算分摊。</w:t>
      </w:r>
      <w:r>
        <w:rPr>
          <w:rFonts w:hint="eastAsia" w:cs="仿宋_GB2312"/>
          <w:color w:val="000000"/>
          <w:sz w:val="32"/>
          <w:szCs w:val="32"/>
          <w:highlight w:val="none"/>
          <w:lang w:val="en-US" w:eastAsia="zh-CN"/>
        </w:rPr>
        <w:t>但考虑到各地政府对地下空间的土地成本确定存在差异，因此，如在</w:t>
      </w:r>
      <w:r>
        <w:rPr>
          <w:rFonts w:hint="eastAsia" w:ascii="仿宋_GB2312" w:hAnsi="仿宋_GB2312" w:eastAsia="仿宋_GB2312" w:cs="仿宋_GB2312"/>
          <w:color w:val="000000"/>
          <w:sz w:val="32"/>
          <w:szCs w:val="32"/>
          <w:highlight w:val="none"/>
          <w:lang w:val="en-US" w:eastAsia="zh-CN"/>
        </w:rPr>
        <w:t>土地出让合同或政府相关</w:t>
      </w:r>
      <w:r>
        <w:rPr>
          <w:rFonts w:hint="eastAsia" w:cs="仿宋_GB2312"/>
          <w:color w:val="000000"/>
          <w:sz w:val="32"/>
          <w:szCs w:val="32"/>
          <w:highlight w:val="none"/>
          <w:lang w:val="en-US" w:eastAsia="zh-CN"/>
        </w:rPr>
        <w:t>部门正式</w:t>
      </w:r>
      <w:r>
        <w:rPr>
          <w:rFonts w:hint="eastAsia" w:ascii="仿宋_GB2312" w:hAnsi="仿宋_GB2312" w:eastAsia="仿宋_GB2312" w:cs="仿宋_GB2312"/>
          <w:color w:val="000000"/>
          <w:sz w:val="32"/>
          <w:szCs w:val="32"/>
          <w:highlight w:val="none"/>
          <w:lang w:val="en-US" w:eastAsia="zh-CN"/>
        </w:rPr>
        <w:t>文件</w:t>
      </w:r>
      <w:r>
        <w:rPr>
          <w:rFonts w:hint="eastAsia" w:cs="仿宋_GB2312"/>
          <w:color w:val="000000"/>
          <w:sz w:val="32"/>
          <w:szCs w:val="32"/>
          <w:highlight w:val="none"/>
          <w:lang w:val="en-US" w:eastAsia="zh-CN"/>
        </w:rPr>
        <w:t>有明确规定</w:t>
      </w:r>
      <w:r>
        <w:rPr>
          <w:rFonts w:hint="eastAsia" w:ascii="仿宋_GB2312" w:hAnsi="仿宋_GB2312" w:eastAsia="仿宋_GB2312" w:cs="仿宋_GB2312"/>
          <w:color w:val="000000"/>
          <w:sz w:val="32"/>
          <w:szCs w:val="32"/>
          <w:highlight w:val="none"/>
          <w:lang w:val="en-US" w:eastAsia="zh-CN"/>
        </w:rPr>
        <w:t>地下空间土地成本</w:t>
      </w:r>
      <w:r>
        <w:rPr>
          <w:rFonts w:hint="eastAsia" w:cs="仿宋_GB2312"/>
          <w:color w:val="000000"/>
          <w:sz w:val="32"/>
          <w:szCs w:val="32"/>
          <w:highlight w:val="none"/>
          <w:lang w:val="en-US" w:eastAsia="zh-CN"/>
        </w:rPr>
        <w:t>金额的，则按</w:t>
      </w:r>
      <w:r>
        <w:rPr>
          <w:rFonts w:hint="eastAsia" w:ascii="仿宋_GB2312" w:hAnsi="仿宋_GB2312" w:eastAsia="仿宋_GB2312" w:cs="仿宋_GB2312"/>
          <w:color w:val="000000"/>
          <w:sz w:val="32"/>
          <w:szCs w:val="32"/>
          <w:highlight w:val="none"/>
          <w:lang w:val="en-US" w:eastAsia="zh-CN"/>
        </w:rPr>
        <w:t>受益对象方式分摊。</w:t>
      </w:r>
      <w:r>
        <w:rPr>
          <w:rFonts w:hint="eastAsia" w:cs="仿宋_GB2312"/>
          <w:color w:val="000000"/>
          <w:sz w:val="32"/>
          <w:szCs w:val="32"/>
          <w:highlight w:val="none"/>
          <w:lang w:val="en-US" w:eastAsia="zh-CN"/>
        </w:rPr>
        <w:t>需要注意的是，地下空间的土地成本按受益对象方式分摊时，须以土地出让合同或政府正式文件确定的金额为依据，各地的基准地价测算表比例不得作为地下空间土地成本的计算依据。</w:t>
      </w:r>
    </w:p>
    <w:p>
      <w:pPr>
        <w:pStyle w:val="4"/>
        <w:pageBreakBefore w:val="0"/>
        <w:widowControl w:val="0"/>
        <w:numPr>
          <w:ilvl w:val="0"/>
          <w:numId w:val="2"/>
        </w:numPr>
        <w:kinsoku/>
        <w:wordWrap/>
        <w:topLinePunct w:val="0"/>
        <w:bidi w:val="0"/>
        <w:spacing w:after="0" w:line="560" w:lineRule="exact"/>
        <w:ind w:left="0" w:leftChars="0" w:firstLine="643" w:firstLineChars="200"/>
        <w:jc w:val="both"/>
        <w:rPr>
          <w:rFonts w:hint="eastAsia" w:ascii="仿宋_GB2312" w:hAnsi="仿宋_GB2312" w:eastAsia="仿宋_GB2312" w:cs="仿宋_GB2312"/>
          <w:b/>
          <w:bCs/>
          <w:color w:val="000000"/>
          <w:sz w:val="32"/>
          <w:szCs w:val="32"/>
          <w:highlight w:val="none"/>
          <w:lang w:val="en" w:eastAsia="zh-CN"/>
        </w:rPr>
      </w:pPr>
      <w:r>
        <w:rPr>
          <w:rFonts w:hint="eastAsia" w:ascii="仿宋_GB2312" w:hAnsi="仿宋_GB2312" w:eastAsia="仿宋_GB2312" w:cs="仿宋_GB2312"/>
          <w:b/>
          <w:bCs/>
          <w:color w:val="000000"/>
          <w:sz w:val="32"/>
          <w:szCs w:val="32"/>
          <w:highlight w:val="none"/>
          <w:lang w:val="en" w:eastAsia="zh-CN"/>
        </w:rPr>
        <w:t>第五条明确了部分成本费用的扣除方式</w:t>
      </w:r>
    </w:p>
    <w:p>
      <w:pPr>
        <w:pStyle w:val="4"/>
        <w:pageBreakBefore w:val="0"/>
        <w:widowControl w:val="0"/>
        <w:numPr>
          <w:ilvl w:val="0"/>
          <w:numId w:val="0"/>
        </w:numPr>
        <w:kinsoku/>
        <w:wordWrap/>
        <w:topLinePunct w:val="0"/>
        <w:bidi w:val="0"/>
        <w:spacing w:after="0" w:line="560" w:lineRule="exact"/>
        <w:ind w:leftChars="0"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 w:eastAsia="zh-CN"/>
        </w:rPr>
        <w:t>一是</w:t>
      </w:r>
      <w:r>
        <w:rPr>
          <w:rFonts w:hint="eastAsia" w:ascii="仿宋_GB2312" w:hAnsi="仿宋_GB2312" w:eastAsia="仿宋_GB2312" w:cs="仿宋_GB2312"/>
          <w:color w:val="000000"/>
          <w:sz w:val="32"/>
          <w:szCs w:val="32"/>
          <w:highlight w:val="none"/>
          <w:lang w:val="en-US" w:eastAsia="zh-CN"/>
        </w:rPr>
        <w:t>对于土地出让合同或补充协议约定分期缴纳土地出让金的利息，是取得土地使用权的合理成本，应计入取得土地使用权所支付的金额予以扣除；但纳税人未按土地出让合同或补充协议约定缴纳土地出让金等原因缴纳的违约金、罚款、滞纳金和因逾期开发支付的土地闲置费等款项，不属于取得土地使用权的合理成本，不得列入取得土地使用权所支付的金额和房地产开发成本扣除。</w:t>
      </w:r>
    </w:p>
    <w:p>
      <w:pPr>
        <w:keepNext w:val="0"/>
        <w:keepLines w:val="0"/>
        <w:pageBreakBefore w:val="0"/>
        <w:widowControl/>
        <w:shd w:val="clear" w:color="auto" w:fill="FFFFFF"/>
        <w:kinsoku/>
        <w:wordWrap w:val="0"/>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cs="仿宋_GB2312"/>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lang w:val="en-US" w:eastAsia="zh-CN"/>
        </w:rPr>
        <w:t>是《国家税务总局关于房地产开发企业土地增值税清算管理有关问题的通知》（国税发〔2006〕187号）对公共配套设施成本费用的扣除原则作了相关规定，但在征管过程中对“产权</w:t>
      </w:r>
      <w:r>
        <w:rPr>
          <w:rFonts w:hint="eastAsia" w:cs="仿宋_GB2312"/>
          <w:color w:val="000000"/>
          <w:sz w:val="32"/>
          <w:szCs w:val="32"/>
          <w:highlight w:val="none"/>
          <w:lang w:val="en-US" w:eastAsia="zh-CN"/>
        </w:rPr>
        <w:t>归</w:t>
      </w:r>
      <w:r>
        <w:rPr>
          <w:rFonts w:hint="eastAsia" w:ascii="仿宋_GB2312" w:hAnsi="仿宋_GB2312" w:eastAsia="仿宋_GB2312" w:cs="仿宋_GB2312"/>
          <w:color w:val="000000"/>
          <w:sz w:val="32"/>
          <w:szCs w:val="32"/>
          <w:highlight w:val="none"/>
          <w:lang w:val="en-US" w:eastAsia="zh-CN"/>
        </w:rPr>
        <w:t>全体业主所有”以及“建成后移交给政府、公用事业单位”的判断口径存在不一致。为统一征管口径，《公告》明确了“产权</w:t>
      </w:r>
      <w:r>
        <w:rPr>
          <w:rFonts w:hint="eastAsia" w:cs="仿宋_GB2312"/>
          <w:color w:val="000000"/>
          <w:sz w:val="32"/>
          <w:szCs w:val="32"/>
          <w:highlight w:val="none"/>
          <w:lang w:val="en-US" w:eastAsia="zh-CN"/>
        </w:rPr>
        <w:t>归</w:t>
      </w:r>
      <w:r>
        <w:rPr>
          <w:rFonts w:hint="eastAsia" w:ascii="仿宋_GB2312" w:hAnsi="仿宋_GB2312" w:eastAsia="仿宋_GB2312" w:cs="仿宋_GB2312"/>
          <w:color w:val="000000"/>
          <w:sz w:val="32"/>
          <w:szCs w:val="32"/>
          <w:highlight w:val="none"/>
          <w:lang w:val="en-US" w:eastAsia="zh-CN"/>
        </w:rPr>
        <w:t>全体业主所有”的4种情形以及属于“建成后移交给政府、公用事业单位”的情形。</w:t>
      </w:r>
    </w:p>
    <w:p>
      <w:pPr>
        <w:pStyle w:val="4"/>
        <w:pageBreakBefore w:val="0"/>
        <w:widowControl w:val="0"/>
        <w:numPr>
          <w:ilvl w:val="0"/>
          <w:numId w:val="0"/>
        </w:numPr>
        <w:kinsoku/>
        <w:wordWrap/>
        <w:topLinePunct w:val="0"/>
        <w:bidi w:val="0"/>
        <w:spacing w:after="0" w:line="560" w:lineRule="exact"/>
        <w:ind w:leftChars="0"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三是纳税人按照土地出让合同、协议或政府相关文件约定建设并向政府及有关部门或政府指定第三方无偿移交除公共配套设施以外的住房、商场、车位等实物配建房屋的，配建房屋的建筑安装工程费实质上是取得土地使用权所支付的代价，因此，《公告》明确配建房面积不计入清算项目可售建筑面积（或占地面积），其建筑安装工程费按规定补缴契税后，作为取得土地使用权所支付的金额，但配建房建筑安装工程费不得在房地产开发成本中重复列支。此外，配建房建筑安装工程费补缴契税也和《财政部 税务总局关于贯彻实施契税法若干事项执行口径的公告》（财政部</w:t>
      </w:r>
      <w:r>
        <w:rPr>
          <w:rFonts w:hint="default" w:ascii="仿宋_GB2312" w:hAnsi="仿宋_GB2312" w:eastAsia="仿宋_GB2312" w:cs="仿宋_GB2312"/>
          <w:color w:val="000000"/>
          <w:sz w:val="32"/>
          <w:szCs w:val="32"/>
          <w:highlight w:val="none"/>
          <w:lang w:val="en" w:eastAsia="zh-CN"/>
        </w:rPr>
        <w:t xml:space="preserve"> </w:t>
      </w:r>
      <w:r>
        <w:rPr>
          <w:rFonts w:hint="eastAsia" w:ascii="仿宋_GB2312" w:hAnsi="仿宋_GB2312" w:eastAsia="仿宋_GB2312" w:cs="仿宋_GB2312"/>
          <w:color w:val="000000"/>
          <w:sz w:val="32"/>
          <w:szCs w:val="32"/>
          <w:highlight w:val="none"/>
          <w:lang w:val="en-US" w:eastAsia="zh-CN"/>
        </w:rPr>
        <w:t>税务总局公告2021年第23号）第二条第五项“土地使用权出让的，契税计税依据包括实物配建房屋等应交付的实物对应的价款”规定保持一致。</w:t>
      </w:r>
    </w:p>
    <w:p>
      <w:pPr>
        <w:pStyle w:val="4"/>
        <w:pageBreakBefore w:val="0"/>
        <w:widowControl w:val="0"/>
        <w:numPr>
          <w:ilvl w:val="0"/>
          <w:numId w:val="0"/>
        </w:numPr>
        <w:kinsoku/>
        <w:wordWrap/>
        <w:topLinePunct w:val="0"/>
        <w:bidi w:val="0"/>
        <w:spacing w:after="0" w:line="560" w:lineRule="exact"/>
        <w:ind w:leftChars="0"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是纳税人按照土地出让合同、协议或政府相关文件约定建设并由政府及有关部门或政府指定第三方按约定价格回购除公共配套设施以外的住房、商场、车位等实物配建房屋的，由于业务性质和无偿移交的情形相似，配建房面积不计入清算项目可售建筑面积（或占地面积），取得的回购款不确认收入。但回购款应先冲减配建房建筑安装工程费，回购款低于建筑安装工程费的，冲减后的差额部分补缴契税后作为取得土地使用权所支付的金额；回购款高于建筑安装工程费的，差额部分继续冲减取得土地使用权所支付的金额，被冲减的取得土地使用权所支付的金额对应已缴纳的契税不予退还。同时，配建房的建筑安装工程费也不得在房地产开发成本中重复列支。</w:t>
      </w:r>
    </w:p>
    <w:p>
      <w:pPr>
        <w:pStyle w:val="4"/>
        <w:pageBreakBefore w:val="0"/>
        <w:widowControl w:val="0"/>
        <w:numPr>
          <w:ilvl w:val="0"/>
          <w:numId w:val="2"/>
        </w:numPr>
        <w:kinsoku/>
        <w:wordWrap/>
        <w:topLinePunct w:val="0"/>
        <w:bidi w:val="0"/>
        <w:spacing w:after="0" w:line="560" w:lineRule="exact"/>
        <w:ind w:left="0" w:leftChars="0" w:firstLine="643" w:firstLineChars="200"/>
        <w:jc w:val="both"/>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第六条明确了审结结论调整的情形</w:t>
      </w:r>
    </w:p>
    <w:p>
      <w:pPr>
        <w:pStyle w:val="4"/>
        <w:pageBreakBefore w:val="0"/>
        <w:widowControl w:val="0"/>
        <w:numPr>
          <w:ilvl w:val="0"/>
          <w:numId w:val="0"/>
        </w:numPr>
        <w:kinsoku/>
        <w:wordWrap/>
        <w:topLinePunct w:val="0"/>
        <w:bidi w:val="0"/>
        <w:spacing w:after="0" w:line="560" w:lineRule="exact"/>
        <w:ind w:leftChars="0"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为进一步规范土地增值税清算项目后续管理，《公告》明确税务机关在税务日常管理、税务稽查以及审计、财政等部门检查中发现纳税人存在少计收入、多计扣除项目金额或其他税收违法行为的，应按《中华人民共和国税收征收管理法》及其实施细则等有关规定调整清算审核结论。</w:t>
      </w:r>
    </w:p>
    <w:p>
      <w:pPr>
        <w:pStyle w:val="4"/>
        <w:pageBreakBefore w:val="0"/>
        <w:widowControl w:val="0"/>
        <w:numPr>
          <w:ilvl w:val="0"/>
          <w:numId w:val="2"/>
        </w:numPr>
        <w:kinsoku/>
        <w:wordWrap/>
        <w:topLinePunct w:val="0"/>
        <w:bidi w:val="0"/>
        <w:spacing w:after="0" w:line="560" w:lineRule="exact"/>
        <w:ind w:left="0" w:leftChars="0" w:firstLine="643" w:firstLineChars="200"/>
        <w:jc w:val="both"/>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第七条明确了清算税款的补退税期限以及滞纳金的加收规则</w:t>
      </w:r>
    </w:p>
    <w:p>
      <w:pPr>
        <w:keepNext w:val="0"/>
        <w:keepLines w:val="0"/>
        <w:pageBreakBefore w:val="0"/>
        <w:kinsoku/>
        <w:topLinePunct w:val="0"/>
        <w:bidi w:val="0"/>
        <w:spacing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cs="仿宋_GB2312"/>
          <w:color w:val="000000"/>
          <w:sz w:val="32"/>
          <w:szCs w:val="32"/>
          <w:highlight w:val="none"/>
          <w:lang w:val="en-US" w:eastAsia="zh-CN"/>
        </w:rPr>
        <w:t>《公告》明确</w:t>
      </w:r>
      <w:r>
        <w:rPr>
          <w:rFonts w:hint="eastAsia" w:ascii="仿宋_GB2312" w:hAnsi="仿宋_GB2312" w:eastAsia="仿宋_GB2312" w:cs="仿宋_GB2312"/>
          <w:color w:val="000000"/>
          <w:sz w:val="32"/>
          <w:szCs w:val="32"/>
          <w:highlight w:val="none"/>
          <w:lang w:val="en-US" w:eastAsia="zh-CN"/>
        </w:rPr>
        <w:t>纳税人应</w:t>
      </w:r>
      <w:r>
        <w:rPr>
          <w:rFonts w:hint="eastAsia" w:cs="仿宋_GB2312"/>
          <w:color w:val="000000"/>
          <w:sz w:val="32"/>
          <w:szCs w:val="32"/>
          <w:highlight w:val="none"/>
          <w:lang w:val="en-US" w:eastAsia="zh-CN"/>
        </w:rPr>
        <w:t>当</w:t>
      </w:r>
      <w:r>
        <w:rPr>
          <w:rFonts w:hint="eastAsia" w:ascii="仿宋_GB2312" w:hAnsi="仿宋_GB2312" w:eastAsia="仿宋_GB2312" w:cs="仿宋_GB2312"/>
          <w:color w:val="000000"/>
          <w:sz w:val="32"/>
          <w:szCs w:val="32"/>
          <w:highlight w:val="none"/>
          <w:lang w:val="en-US" w:eastAsia="zh-CN"/>
        </w:rPr>
        <w:t>积极配合税务机关的清算审核工作，并在税务机关送达清算审核结论通知</w:t>
      </w:r>
      <w:r>
        <w:rPr>
          <w:rFonts w:hint="eastAsia" w:cs="仿宋_GB2312"/>
          <w:color w:val="000000"/>
          <w:sz w:val="32"/>
          <w:szCs w:val="32"/>
          <w:highlight w:val="none"/>
          <w:lang w:val="en-US" w:eastAsia="zh-CN"/>
        </w:rPr>
        <w:t>书</w:t>
      </w:r>
      <w:r>
        <w:rPr>
          <w:rFonts w:hint="eastAsia" w:ascii="仿宋_GB2312" w:hAnsi="仿宋_GB2312" w:eastAsia="仿宋_GB2312" w:cs="仿宋_GB2312"/>
          <w:color w:val="000000"/>
          <w:sz w:val="32"/>
          <w:szCs w:val="32"/>
          <w:highlight w:val="none"/>
          <w:lang w:val="en-US" w:eastAsia="zh-CN"/>
        </w:rPr>
        <w:t>之日起按照规定期限办理更正申报及补、退税事宜。</w:t>
      </w:r>
    </w:p>
    <w:p>
      <w:pPr>
        <w:pStyle w:val="4"/>
        <w:pageBreakBefore w:val="0"/>
        <w:widowControl w:val="0"/>
        <w:numPr>
          <w:ilvl w:val="0"/>
          <w:numId w:val="0"/>
        </w:numPr>
        <w:kinsoku/>
        <w:wordWrap/>
        <w:topLinePunct w:val="0"/>
        <w:bidi w:val="0"/>
        <w:spacing w:after="0" w:line="560" w:lineRule="exact"/>
        <w:ind w:leftChars="0"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为</w:t>
      </w:r>
      <w:r>
        <w:rPr>
          <w:rFonts w:hint="eastAsia" w:ascii="仿宋_GB2312" w:hAnsi="仿宋_GB2312" w:eastAsia="仿宋_GB2312" w:cs="仿宋_GB2312"/>
          <w:color w:val="000000"/>
          <w:sz w:val="32"/>
          <w:szCs w:val="32"/>
          <w:highlight w:val="none"/>
          <w:lang w:val="en" w:eastAsia="zh-CN"/>
        </w:rPr>
        <w:t>提升纳税人遵从度，</w:t>
      </w:r>
      <w:r>
        <w:rPr>
          <w:rFonts w:hint="eastAsia" w:ascii="仿宋_GB2312" w:hAnsi="仿宋_GB2312" w:eastAsia="仿宋_GB2312" w:cs="仿宋_GB2312"/>
          <w:color w:val="000000"/>
          <w:sz w:val="32"/>
          <w:szCs w:val="32"/>
          <w:highlight w:val="none"/>
          <w:lang w:val="en-US" w:eastAsia="zh-CN"/>
        </w:rPr>
        <w:t>《公告》对于在原审核期间已提供全面完整准确清算资料的纳税人，补征税款的滞纳金自结论调整后的缴纳期限届满次日起算；对于前期存在隐匿收入、虚报资料的纳税人，其补征税款的纳税义务视同在原审核结论的缴纳期限届满时就已产生，应按照原审核结论的缴纳期限届满次日起计征滞纳金。</w:t>
      </w:r>
    </w:p>
    <w:p>
      <w:pPr>
        <w:rPr>
          <w:rFonts w:hint="default"/>
          <w:color w:val="000000"/>
          <w:lang w:val="en-US" w:eastAsia="zh-CN"/>
        </w:rPr>
      </w:pPr>
      <w:r>
        <w:rPr>
          <w:rFonts w:hint="eastAsia" w:cs="仿宋_GB2312"/>
          <w:color w:val="000000"/>
          <w:sz w:val="32"/>
          <w:szCs w:val="32"/>
          <w:highlight w:val="none"/>
          <w:lang w:val="en-US" w:eastAsia="zh-CN"/>
        </w:rPr>
        <w:t xml:space="preserve">    如2026年8月1日，税务机关送达</w:t>
      </w:r>
      <w:r>
        <w:rPr>
          <w:rFonts w:hint="eastAsia" w:ascii="仿宋_GB2312" w:hAnsi="仿宋_GB2312" w:eastAsia="仿宋_GB2312" w:cs="仿宋_GB2312"/>
          <w:color w:val="000000"/>
          <w:sz w:val="32"/>
          <w:szCs w:val="32"/>
          <w:highlight w:val="none"/>
          <w:lang w:val="en-US" w:eastAsia="zh-CN"/>
        </w:rPr>
        <w:t>清算审核结论通知</w:t>
      </w:r>
      <w:r>
        <w:rPr>
          <w:rFonts w:hint="eastAsia" w:cs="仿宋_GB2312"/>
          <w:color w:val="000000"/>
          <w:sz w:val="32"/>
          <w:szCs w:val="32"/>
          <w:highlight w:val="none"/>
          <w:lang w:val="en-US" w:eastAsia="zh-CN"/>
        </w:rPr>
        <w:t>书，缴纳期限为2026年9月1日。后因税务机关发现纳税人前期存在</w:t>
      </w:r>
      <w:r>
        <w:rPr>
          <w:rFonts w:hint="eastAsia" w:ascii="仿宋_GB2312" w:hAnsi="仿宋_GB2312" w:eastAsia="仿宋_GB2312" w:cs="仿宋_GB2312"/>
          <w:color w:val="000000"/>
          <w:sz w:val="32"/>
          <w:szCs w:val="32"/>
          <w:highlight w:val="none"/>
          <w:lang w:val="en-US" w:eastAsia="zh-CN"/>
        </w:rPr>
        <w:t>隐匿收入、虚报资料</w:t>
      </w:r>
      <w:r>
        <w:rPr>
          <w:rFonts w:hint="eastAsia" w:cs="仿宋_GB2312"/>
          <w:color w:val="000000"/>
          <w:sz w:val="32"/>
          <w:szCs w:val="32"/>
          <w:highlight w:val="none"/>
          <w:lang w:val="en-US" w:eastAsia="zh-CN"/>
        </w:rPr>
        <w:t>等行为，税务机关于2026年12月1日重新出具审核结论，纳税人</w:t>
      </w:r>
      <w:r>
        <w:rPr>
          <w:rFonts w:hint="eastAsia" w:ascii="仿宋_GB2312" w:hAnsi="仿宋_GB2312" w:eastAsia="仿宋_GB2312" w:cs="仿宋_GB2312"/>
          <w:color w:val="000000"/>
          <w:sz w:val="32"/>
          <w:szCs w:val="32"/>
          <w:highlight w:val="none"/>
          <w:lang w:val="en-US" w:eastAsia="zh-CN"/>
        </w:rPr>
        <w:t>应按照</w:t>
      </w:r>
      <w:r>
        <w:rPr>
          <w:rFonts w:hint="eastAsia" w:cs="仿宋_GB2312"/>
          <w:color w:val="000000"/>
          <w:sz w:val="32"/>
          <w:szCs w:val="32"/>
          <w:highlight w:val="none"/>
          <w:lang w:val="en-US" w:eastAsia="zh-CN"/>
        </w:rPr>
        <w:t>2026年9月1日</w:t>
      </w:r>
      <w:r>
        <w:rPr>
          <w:rFonts w:hint="eastAsia" w:ascii="仿宋_GB2312" w:hAnsi="仿宋_GB2312" w:eastAsia="仿宋_GB2312" w:cs="仿宋_GB2312"/>
          <w:color w:val="000000"/>
          <w:sz w:val="32"/>
          <w:szCs w:val="32"/>
          <w:highlight w:val="none"/>
          <w:lang w:val="en-US" w:eastAsia="zh-CN"/>
        </w:rPr>
        <w:t>次日起计征滞纳金</w:t>
      </w:r>
      <w:r>
        <w:rPr>
          <w:rFonts w:hint="eastAsia" w:cs="仿宋_GB2312"/>
          <w:color w:val="000000"/>
          <w:sz w:val="32"/>
          <w:szCs w:val="32"/>
          <w:highlight w:val="none"/>
          <w:lang w:val="en-US" w:eastAsia="zh-CN"/>
        </w:rPr>
        <w:t>。</w:t>
      </w:r>
    </w:p>
    <w:p>
      <w:pPr>
        <w:pageBreakBefore w:val="0"/>
        <w:widowControl w:val="0"/>
        <w:numPr>
          <w:ilvl w:val="0"/>
          <w:numId w:val="0"/>
        </w:numPr>
        <w:kinsoku/>
        <w:wordWrap/>
        <w:topLinePunct w:val="0"/>
        <w:bidi w:val="0"/>
        <w:spacing w:line="560" w:lineRule="exact"/>
        <w:ind w:leftChars="200"/>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三、施行规定</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color w:val="000000"/>
          <w:lang w:eastAsia="zh-CN"/>
        </w:rPr>
      </w:pPr>
      <w:r>
        <w:rPr>
          <w:rFonts w:hint="eastAsia" w:ascii="仿宋_GB2312" w:hAnsi="仿宋_GB2312" w:eastAsia="仿宋_GB2312" w:cs="仿宋_GB2312"/>
          <w:color w:val="000000"/>
          <w:sz w:val="32"/>
          <w:szCs w:val="32"/>
          <w:highlight w:val="none"/>
          <w:lang w:val="en-US" w:eastAsia="zh-CN"/>
        </w:rPr>
        <w:t>本</w:t>
      </w:r>
      <w:r>
        <w:rPr>
          <w:rFonts w:hint="eastAsia" w:cs="仿宋_GB2312"/>
          <w:color w:val="000000"/>
          <w:sz w:val="32"/>
          <w:szCs w:val="32"/>
          <w:highlight w:val="none"/>
          <w:lang w:val="en-US" w:eastAsia="zh-CN"/>
        </w:rPr>
        <w:t>《公告》</w:t>
      </w:r>
      <w:r>
        <w:rPr>
          <w:rFonts w:hint="eastAsia" w:ascii="仿宋_GB2312" w:hAnsi="仿宋_GB2312" w:eastAsia="仿宋_GB2312" w:cs="仿宋_GB2312"/>
          <w:color w:val="000000"/>
          <w:sz w:val="32"/>
          <w:szCs w:val="32"/>
          <w:highlight w:val="none"/>
          <w:lang w:val="en-US" w:eastAsia="zh-CN"/>
        </w:rPr>
        <w:t>自2026年</w:t>
      </w:r>
      <w:r>
        <w:rPr>
          <w:rFonts w:hint="eastAsia"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lang w:val="en-US" w:eastAsia="zh-CN"/>
        </w:rPr>
        <w:t>月</w:t>
      </w:r>
      <w:r>
        <w:rPr>
          <w:rFonts w:hint="eastAsia"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val="en-US" w:eastAsia="zh-CN"/>
        </w:rPr>
        <w:t>日起</w:t>
      </w:r>
      <w:r>
        <w:rPr>
          <w:rFonts w:hint="eastAsia" w:cs="仿宋_GB2312"/>
          <w:color w:val="000000"/>
          <w:sz w:val="32"/>
          <w:szCs w:val="32"/>
          <w:highlight w:val="none"/>
          <w:lang w:val="en-US" w:eastAsia="zh-CN"/>
        </w:rPr>
        <w:t>施行。</w:t>
      </w:r>
      <w:r>
        <w:rPr>
          <w:rFonts w:hint="eastAsia" w:ascii="仿宋_GB2312" w:hAnsi="仿宋_GB2312" w:eastAsia="仿宋_GB2312" w:cs="仿宋_GB2312"/>
          <w:color w:val="000000"/>
          <w:sz w:val="32"/>
          <w:szCs w:val="32"/>
          <w:highlight w:val="none"/>
          <w:lang w:val="en-US" w:eastAsia="zh-CN"/>
        </w:rPr>
        <w:t>《国家税务总局福建省税务局关于土地增值税若干政策问题的公告》（2018年第21号）第三条、第五条、第八条第一款</w:t>
      </w:r>
      <w:r>
        <w:rPr>
          <w:rFonts w:hint="eastAsia" w:cs="仿宋_GB2312"/>
          <w:color w:val="000000"/>
          <w:sz w:val="32"/>
          <w:szCs w:val="32"/>
          <w:highlight w:val="none"/>
          <w:lang w:val="en-US" w:eastAsia="zh-CN"/>
        </w:rPr>
        <w:t>同时废止</w:t>
      </w:r>
      <w:r>
        <w:rPr>
          <w:rFonts w:hint="eastAsia" w:ascii="仿宋_GB2312" w:hAnsi="仿宋_GB2312" w:eastAsia="仿宋_GB2312" w:cs="仿宋_GB2312"/>
          <w:color w:val="000000"/>
          <w:sz w:val="32"/>
          <w:szCs w:val="32"/>
          <w:highlight w:val="none"/>
          <w:lang w:val="en-US" w:eastAsia="zh-CN"/>
        </w:rPr>
        <w:t>。</w:t>
      </w:r>
      <w:r>
        <w:rPr>
          <w:rFonts w:hint="eastAsia" w:cs="仿宋_GB2312"/>
          <w:color w:val="000000"/>
          <w:sz w:val="32"/>
          <w:szCs w:val="32"/>
          <w:highlight w:val="none"/>
          <w:lang w:val="en-US" w:eastAsia="zh-CN"/>
        </w:rPr>
        <w:t>此外，为便于政策衔接，明确</w:t>
      </w:r>
      <w:r>
        <w:rPr>
          <w:rFonts w:hint="eastAsia" w:ascii="仿宋_GB2312" w:hAnsi="仿宋_GB2312" w:eastAsia="仿宋_GB2312" w:cs="仿宋_GB2312"/>
          <w:color w:val="000000"/>
          <w:sz w:val="32"/>
          <w:szCs w:val="32"/>
          <w:highlight w:val="none"/>
          <w:lang w:val="en-US" w:eastAsia="zh-CN"/>
        </w:rPr>
        <w:t>在本公告</w:t>
      </w:r>
      <w:r>
        <w:rPr>
          <w:rFonts w:hint="eastAsia" w:cs="仿宋_GB2312"/>
          <w:color w:val="000000"/>
          <w:sz w:val="32"/>
          <w:szCs w:val="32"/>
          <w:highlight w:val="none"/>
          <w:lang w:val="en-US" w:eastAsia="zh-CN"/>
        </w:rPr>
        <w:t>施行</w:t>
      </w:r>
      <w:r>
        <w:rPr>
          <w:rFonts w:hint="eastAsia" w:ascii="仿宋_GB2312" w:hAnsi="仿宋_GB2312" w:eastAsia="仿宋_GB2312" w:cs="仿宋_GB2312"/>
          <w:color w:val="000000"/>
          <w:sz w:val="32"/>
          <w:szCs w:val="32"/>
          <w:highlight w:val="none"/>
          <w:lang w:val="en-US" w:eastAsia="zh-CN"/>
        </w:rPr>
        <w:t>之日后，主管税务机关受理纳税人清算申报的项目应</w:t>
      </w:r>
      <w:r>
        <w:rPr>
          <w:rFonts w:hint="eastAsia" w:cs="仿宋_GB2312"/>
          <w:color w:val="000000"/>
          <w:sz w:val="32"/>
          <w:szCs w:val="32"/>
          <w:highlight w:val="none"/>
          <w:lang w:val="en-US" w:eastAsia="zh-CN"/>
        </w:rPr>
        <w:t>当</w:t>
      </w:r>
      <w:r>
        <w:rPr>
          <w:rFonts w:hint="eastAsia" w:ascii="仿宋_GB2312" w:hAnsi="仿宋_GB2312" w:eastAsia="仿宋_GB2312" w:cs="仿宋_GB2312"/>
          <w:color w:val="000000"/>
          <w:sz w:val="32"/>
          <w:szCs w:val="32"/>
          <w:highlight w:val="none"/>
          <w:lang w:val="en-US" w:eastAsia="zh-CN"/>
        </w:rPr>
        <w:t>按本</w:t>
      </w:r>
      <w:r>
        <w:rPr>
          <w:rFonts w:hint="eastAsia" w:cs="仿宋_GB2312"/>
          <w:color w:val="000000"/>
          <w:sz w:val="32"/>
          <w:szCs w:val="32"/>
          <w:highlight w:val="none"/>
          <w:lang w:val="en-US" w:eastAsia="zh-CN"/>
        </w:rPr>
        <w:t>公告</w:t>
      </w:r>
      <w:r>
        <w:rPr>
          <w:rFonts w:hint="eastAsia" w:ascii="仿宋_GB2312" w:hAnsi="仿宋_GB2312" w:eastAsia="仿宋_GB2312" w:cs="仿宋_GB2312"/>
          <w:color w:val="000000"/>
          <w:sz w:val="32"/>
          <w:szCs w:val="32"/>
          <w:highlight w:val="none"/>
          <w:lang w:val="en-US" w:eastAsia="zh-CN"/>
        </w:rPr>
        <w:t>执行；在本公告</w:t>
      </w:r>
      <w:r>
        <w:rPr>
          <w:rFonts w:hint="eastAsia" w:cs="仿宋_GB2312"/>
          <w:color w:val="000000"/>
          <w:sz w:val="32"/>
          <w:szCs w:val="32"/>
          <w:highlight w:val="none"/>
          <w:lang w:val="en-US" w:eastAsia="zh-CN"/>
        </w:rPr>
        <w:t>施行</w:t>
      </w:r>
      <w:r>
        <w:rPr>
          <w:rFonts w:hint="eastAsia" w:ascii="仿宋_GB2312" w:hAnsi="仿宋_GB2312" w:eastAsia="仿宋_GB2312" w:cs="仿宋_GB2312"/>
          <w:color w:val="000000"/>
          <w:sz w:val="32"/>
          <w:szCs w:val="32"/>
          <w:highlight w:val="none"/>
          <w:lang w:val="en-US" w:eastAsia="zh-CN"/>
        </w:rPr>
        <w:t>之日前已受理但未出具清算审核结论的项目，纳税人可</w:t>
      </w:r>
      <w:r>
        <w:rPr>
          <w:rFonts w:hint="eastAsia" w:cs="仿宋_GB2312"/>
          <w:color w:val="000000"/>
          <w:sz w:val="32"/>
          <w:szCs w:val="32"/>
          <w:highlight w:val="none"/>
          <w:lang w:val="en-US" w:eastAsia="zh-CN"/>
        </w:rPr>
        <w:t>以在清算审核结论出具前向主管税务机关书面申请</w:t>
      </w:r>
      <w:r>
        <w:rPr>
          <w:rFonts w:hint="eastAsia" w:ascii="仿宋_GB2312" w:hAnsi="仿宋_GB2312" w:eastAsia="仿宋_GB2312" w:cs="仿宋_GB2312"/>
          <w:color w:val="000000"/>
          <w:sz w:val="32"/>
          <w:szCs w:val="32"/>
          <w:highlight w:val="none"/>
          <w:lang w:val="en-US" w:eastAsia="zh-CN"/>
        </w:rPr>
        <w:t>选择按本</w:t>
      </w:r>
      <w:r>
        <w:rPr>
          <w:rFonts w:hint="eastAsia" w:cs="仿宋_GB2312"/>
          <w:color w:val="000000"/>
          <w:sz w:val="32"/>
          <w:szCs w:val="32"/>
          <w:highlight w:val="none"/>
          <w:lang w:val="en-US" w:eastAsia="zh-CN"/>
        </w:rPr>
        <w:t>公告</w:t>
      </w:r>
      <w:r>
        <w:rPr>
          <w:rFonts w:hint="eastAsia" w:ascii="仿宋_GB2312" w:hAnsi="仿宋_GB2312" w:eastAsia="仿宋_GB2312" w:cs="仿宋_GB2312"/>
          <w:color w:val="000000"/>
          <w:sz w:val="32"/>
          <w:szCs w:val="32"/>
          <w:highlight w:val="none"/>
          <w:lang w:val="en-US" w:eastAsia="zh-CN"/>
        </w:rPr>
        <w:t>执行。</w:t>
      </w:r>
    </w:p>
    <w:p>
      <w:pPr>
        <w:pStyle w:val="3"/>
        <w:pageBreakBefore w:val="0"/>
        <w:widowControl w:val="0"/>
        <w:kinsoku/>
        <w:wordWrap/>
        <w:overflowPunct/>
        <w:topLinePunct w:val="0"/>
        <w:autoSpaceDE/>
        <w:autoSpaceDN/>
        <w:bidi w:val="0"/>
        <w:adjustRightInd w:val="0"/>
        <w:snapToGrid w:val="0"/>
        <w:spacing w:before="0" w:after="0" w:line="560" w:lineRule="exact"/>
        <w:jc w:val="both"/>
        <w:textAlignment w:val="auto"/>
        <w:rPr>
          <w:rFonts w:hint="eastAsia" w:ascii="方正小标宋简体" w:hAnsi="方正小标宋简体" w:eastAsia="方正小标宋简体" w:cs="方正小标宋简体"/>
          <w:b w:val="0"/>
          <w:bCs w:val="0"/>
          <w:color w:val="000000"/>
          <w:sz w:val="36"/>
          <w:szCs w:val="36"/>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7BC0DA"/>
    <w:multiLevelType w:val="singleLevel"/>
    <w:tmpl w:val="977BC0DA"/>
    <w:lvl w:ilvl="0" w:tentative="0">
      <w:start w:val="1"/>
      <w:numFmt w:val="chineseCounting"/>
      <w:suff w:val="nothing"/>
      <w:lvlText w:val="%1、"/>
      <w:lvlJc w:val="left"/>
      <w:rPr>
        <w:rFonts w:hint="eastAsia"/>
      </w:rPr>
    </w:lvl>
  </w:abstractNum>
  <w:abstractNum w:abstractNumId="1">
    <w:nsid w:val="EFB97C0E"/>
    <w:multiLevelType w:val="singleLevel"/>
    <w:tmpl w:val="EFB97C0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C6C3A"/>
    <w:rsid w:val="40ED0045"/>
    <w:rsid w:val="4BBC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4"/>
      <w:lang w:val="en-US" w:eastAsia="zh-CN" w:bidi="ar-SA"/>
    </w:rPr>
  </w:style>
  <w:style w:type="paragraph" w:styleId="3">
    <w:name w:val="heading 4"/>
    <w:basedOn w:val="1"/>
    <w:next w:val="1"/>
    <w:semiHidden/>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Normal Indent1"/>
    <w:basedOn w:val="1"/>
    <w:qFormat/>
    <w:uiPriority w:val="99"/>
    <w:pPr>
      <w:spacing w:line="660" w:lineRule="exact"/>
      <w:ind w:firstLine="720" w:firstLineChars="200"/>
    </w:pPr>
    <w:rPr>
      <w:rFonts w:ascii="Times New Roman" w:hAnsi="Times New Roman" w:eastAsia="楷体_GB2312" w:cs="Times New Roman"/>
      <w:sz w:val="36"/>
      <w:szCs w:val="36"/>
    </w:rPr>
  </w:style>
  <w:style w:type="paragraph" w:styleId="4">
    <w:name w:val="Body Text"/>
    <w:basedOn w:val="1"/>
    <w:next w:val="1"/>
    <w:qFormat/>
    <w:uiPriority w:val="0"/>
    <w:pPr>
      <w:overflowPunct w:val="0"/>
      <w:autoSpaceDE w:val="0"/>
      <w:autoSpaceDN w:val="0"/>
      <w:adjustRightInd w:val="0"/>
      <w:spacing w:after="140" w:line="276" w:lineRule="auto"/>
      <w:jc w:val="both"/>
      <w:textAlignment w:val="baseline"/>
    </w:pPr>
    <w:rPr>
      <w:rFonts w:ascii="Times New Roman" w:hAnsi="Times New Roman" w:eastAsia="宋体" w:cs="Times New Roman"/>
      <w:sz w:val="21"/>
      <w:lang w:val="en-US" w:eastAsia="zh-CN" w:bidi="ar-SA"/>
    </w:rPr>
  </w:style>
  <w:style w:type="paragraph" w:styleId="5">
    <w:name w:val="Title"/>
    <w:basedOn w:val="1"/>
    <w:next w:val="1"/>
    <w:qFormat/>
    <w:uiPriority w:val="0"/>
    <w:pPr>
      <w:widowControl w:val="0"/>
      <w:suppressAutoHyphens/>
      <w:spacing w:before="240" w:after="60"/>
      <w:jc w:val="center"/>
      <w:outlineLvl w:val="0"/>
    </w:pPr>
    <w:rPr>
      <w:rFonts w:ascii="Cambria" w:hAnsi="Cambria" w:eastAsia="宋体" w:cs="Times New Roman"/>
      <w:b/>
      <w:kern w:val="2"/>
      <w:sz w:val="21"/>
      <w:szCs w:val="24"/>
      <w:lang w:val="en-US" w:eastAsia="zh-CN" w:bidi="ar-SA"/>
    </w:rPr>
  </w:style>
  <w:style w:type="paragraph" w:customStyle="1" w:styleId="8">
    <w:name w:val="TableOfAuthoring"/>
    <w:basedOn w:val="1"/>
    <w:next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2026-05-12T08:17:00Z</dcterms:created>
  <dc:creator>admin</dc:creator>
  <cp:lastModifiedBy>admin</cp:lastModifiedBy>
  <dcterms:modified xsi:type="dcterms:W3CDTF">2026-05-12T08:50:04Z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