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1D6A7">
      <w:pPr>
        <w:spacing w:line="560" w:lineRule="exac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0CAE0462">
      <w:pPr>
        <w:spacing w:line="560" w:lineRule="exact"/>
        <w:jc w:val="center"/>
        <w:rPr>
          <w:rFonts w:hint="eastAsia" w:ascii="Times New Roman" w:hAnsi="Times New Roman" w:eastAsia="黑体" w:cs="Times New Roman"/>
          <w:b/>
          <w:sz w:val="44"/>
          <w:szCs w:val="44"/>
          <w:lang w:eastAsia="zh-CN"/>
        </w:rPr>
      </w:pPr>
    </w:p>
    <w:p w14:paraId="7353517B">
      <w:pPr>
        <w:spacing w:line="560" w:lineRule="exact"/>
        <w:jc w:val="center"/>
        <w:rPr>
          <w:rFonts w:hint="eastAsia" w:ascii="Times New Roman" w:hAnsi="Times New Roman" w:eastAsia="黑体" w:cs="Times New Roman"/>
          <w:b/>
          <w:sz w:val="44"/>
          <w:szCs w:val="44"/>
          <w:lang w:eastAsia="zh-CN"/>
        </w:rPr>
      </w:pPr>
      <w:r>
        <w:rPr>
          <w:rFonts w:hint="eastAsia" w:ascii="方正大标宋简体" w:hAnsi="方正大标宋简体" w:eastAsia="方正大标宋简体" w:cs="方正大标宋简体"/>
          <w:b w:val="0"/>
          <w:sz w:val="44"/>
          <w:szCs w:val="44"/>
          <w:lang w:eastAsia="zh-CN"/>
        </w:rPr>
        <w:t>《上海证券交易所交易规则（</w:t>
      </w:r>
      <w:r>
        <w:rPr>
          <w:rFonts w:hint="eastAsia" w:ascii="方正大标宋简体" w:hAnsi="方正大标宋简体" w:eastAsia="方正大标宋简体" w:cs="方正大标宋简体"/>
          <w:b w:val="0"/>
          <w:sz w:val="44"/>
          <w:szCs w:val="44"/>
          <w:lang w:val="en-US" w:eastAsia="zh-CN"/>
        </w:rPr>
        <w:t>征求意见稿</w:t>
      </w:r>
      <w:r>
        <w:rPr>
          <w:rFonts w:hint="eastAsia" w:ascii="方正大标宋简体" w:hAnsi="方正大标宋简体" w:eastAsia="方正大标宋简体" w:cs="方正大标宋简体"/>
          <w:b w:val="0"/>
          <w:sz w:val="44"/>
          <w:szCs w:val="44"/>
          <w:lang w:eastAsia="zh-CN"/>
        </w:rPr>
        <w:t>）》修订说明</w:t>
      </w:r>
    </w:p>
    <w:p w14:paraId="08AA06E1">
      <w:pPr>
        <w:spacing w:line="560" w:lineRule="exact"/>
        <w:rPr>
          <w:rFonts w:hint="eastAsia" w:ascii="Times New Roman" w:hAnsi="Times New Roman" w:eastAsia="仿宋_GB2312" w:cs="Times New Roman"/>
          <w:sz w:val="30"/>
          <w:szCs w:val="30"/>
          <w:lang w:eastAsia="zh-CN"/>
        </w:rPr>
      </w:pPr>
    </w:p>
    <w:p w14:paraId="607A4E6F">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为优化证券交易制度，促进市场稳定运行，更好满足投资者需求，</w:t>
      </w:r>
      <w:r>
        <w:rPr>
          <w:rFonts w:hint="eastAsia" w:ascii="Times New Roman" w:hAnsi="Times New Roman" w:eastAsia="仿宋_GB2312" w:cs="Times New Roman"/>
          <w:sz w:val="32"/>
          <w:szCs w:val="32"/>
          <w:lang w:val="en-US" w:eastAsia="zh-CN"/>
        </w:rPr>
        <w:t>上海证券交易所（以下简称</w:t>
      </w:r>
      <w:r>
        <w:rPr>
          <w:rFonts w:hint="eastAsia" w:ascii="Times New Roman" w:hAnsi="Times New Roman" w:eastAsia="仿宋_GB2312" w:cs="Times New Roman"/>
          <w:sz w:val="32"/>
          <w:szCs w:val="32"/>
          <w:lang w:val="en-US" w:eastAsia="zh"/>
        </w:rPr>
        <w:t>本</w:t>
      </w:r>
      <w:r>
        <w:rPr>
          <w:rFonts w:hint="eastAsia" w:ascii="Times New Roman" w:hAnsi="Times New Roman" w:eastAsia="仿宋_GB2312" w:cs="Times New Roman"/>
          <w:sz w:val="32"/>
          <w:szCs w:val="32"/>
          <w:lang w:val="en-US" w:eastAsia="zh-CN"/>
        </w:rPr>
        <w:t>所）在中国证监会的统筹指导下，对《上海证券交易所交易规则》（以下简称《交易规则》）进行了修订。现将具体修订情况说明如下。</w:t>
      </w:r>
    </w:p>
    <w:p w14:paraId="606EB50D">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b w:val="0"/>
          <w:sz w:val="32"/>
          <w:szCs w:val="32"/>
          <w:lang w:val="en-US" w:eastAsia="zh-CN"/>
        </w:rPr>
        <w:t>一、修订思路</w:t>
      </w:r>
    </w:p>
    <w:p w14:paraId="26875EA3">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一是优化完善交易制度，优化基金收盘阶段交易方式，增强市场内在稳定性和定价效率，扩展盘后固定价格交易方式适用品种，更好满足投资者多元交易需求，便利中长期资金入市。</w:t>
      </w:r>
    </w:p>
    <w:p w14:paraId="4A916ADB">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二是适应规则变化与业务需要，对风险警示股票、纪律处分等相关规定进行修订。</w:t>
      </w:r>
    </w:p>
    <w:p w14:paraId="0C52C827">
      <w:pPr>
        <w:spacing w:line="560" w:lineRule="exact"/>
        <w:ind w:firstLine="600"/>
        <w:outlineLvl w:val="0"/>
        <w:rPr>
          <w:rFonts w:hint="eastAsia" w:ascii="Times New Roman" w:hAnsi="Times New Roman" w:eastAsia="黑体" w:cs="Times New Roman"/>
          <w:b w:val="0"/>
          <w:sz w:val="32"/>
          <w:szCs w:val="32"/>
          <w:lang w:val="en-US" w:eastAsia="zh-CN"/>
        </w:rPr>
      </w:pPr>
      <w:r>
        <w:rPr>
          <w:rFonts w:hint="eastAsia" w:ascii="Times New Roman" w:hAnsi="Times New Roman" w:eastAsia="黑体" w:cs="Times New Roman"/>
          <w:b w:val="0"/>
          <w:sz w:val="32"/>
          <w:szCs w:val="32"/>
          <w:lang w:val="en-US" w:eastAsia="zh-CN"/>
        </w:rPr>
        <w:t>二、主要修订内容</w:t>
      </w:r>
    </w:p>
    <w:p w14:paraId="239CE8D8">
      <w:pPr>
        <w:widowControl w:val="0"/>
        <w:numPr>
          <w:ilvl w:val="0"/>
          <w:numId w:val="0"/>
        </w:numPr>
        <w:spacing w:line="560" w:lineRule="exact"/>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val="en-US" w:eastAsia="zh"/>
        </w:rPr>
        <w:t xml:space="preserve">    </w:t>
      </w:r>
      <w:r>
        <w:rPr>
          <w:rFonts w:hint="eastAsia" w:ascii="楷体_GB2312" w:hAnsi="楷体_GB2312" w:eastAsia="楷体_GB2312" w:cs="楷体_GB2312"/>
          <w:b w:val="0"/>
          <w:bCs w:val="0"/>
          <w:sz w:val="32"/>
          <w:szCs w:val="32"/>
          <w:lang w:val="en-US" w:eastAsia="zh-CN"/>
        </w:rPr>
        <w:t>（一）优化基金收盘交易机制</w:t>
      </w:r>
    </w:p>
    <w:p w14:paraId="04A80FF6">
      <w:pPr>
        <w:widowControl w:val="0"/>
        <w:numPr>
          <w:ilvl w:val="0"/>
          <w:numId w:val="0"/>
        </w:numPr>
        <w:spacing w:line="560" w:lineRule="exact"/>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基金收盘阶段交易方式由连续竞价调整为收盘集合竞价，</w:t>
      </w:r>
      <w:r>
        <w:rPr>
          <w:rFonts w:hint="eastAsia" w:ascii="Times New Roman" w:hAnsi="Times New Roman" w:eastAsia="仿宋_GB2312" w:cs="Times New Roman"/>
          <w:sz w:val="32"/>
          <w:szCs w:val="32"/>
          <w:lang w:val="en-US" w:eastAsia="zh-CN"/>
        </w:rPr>
        <w:t>并通过集合竞价产生收盘价，与沪市股票保持一致。相关调整有利于进一步提升基金收盘阶段价格稳定性和定价效率，提高市场机制一致性。</w:t>
      </w:r>
    </w:p>
    <w:p w14:paraId="02037C50">
      <w:pPr>
        <w:widowControl w:val="0"/>
        <w:numPr>
          <w:ilvl w:val="0"/>
          <w:numId w:val="0"/>
        </w:numPr>
        <w:spacing w:line="560" w:lineRule="exact"/>
        <w:ind w:left="0"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扩展盘后固定价格交易方式适用品种</w:t>
      </w:r>
    </w:p>
    <w:p w14:paraId="41D49FEE">
      <w:pPr>
        <w:widowControl w:val="0"/>
        <w:numPr>
          <w:ilvl w:val="0"/>
          <w:numId w:val="0"/>
        </w:numPr>
        <w:spacing w:line="560" w:lineRule="exact"/>
        <w:ind w:left="0" w:firstLine="640" w:firstLineChars="200"/>
        <w:jc w:val="both"/>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eastAsia="zh-CN"/>
        </w:rPr>
        <w:t>科创板股票盘后固定价格交易推出以来运行平稳，作为盘中连续交易的有效补充，为投资者提供了便利。</w:t>
      </w:r>
      <w:r>
        <w:rPr>
          <w:rFonts w:hint="eastAsia" w:ascii="仿宋_GB2312" w:hAnsi="仿宋_GB2312" w:eastAsia="仿宋_GB2312" w:cs="仿宋_GB2312"/>
          <w:sz w:val="32"/>
          <w:szCs w:val="32"/>
          <w:lang w:eastAsia="zh-CN"/>
        </w:rPr>
        <w:t>为落实</w:t>
      </w:r>
      <w:r>
        <w:rPr>
          <w:rFonts w:hint="eastAsia" w:ascii="Times New Roman" w:hAnsi="Times New Roman" w:eastAsia="仿宋_GB2312" w:cs="Times New Roman"/>
          <w:sz w:val="32"/>
          <w:szCs w:val="32"/>
          <w:lang w:val="en-US" w:eastAsia="zh-CN"/>
        </w:rPr>
        <w:t>“科八条”</w:t>
      </w:r>
      <w:r>
        <w:rPr>
          <w:rFonts w:hint="default" w:ascii="Times New Roman" w:hAnsi="Times New Roman" w:eastAsia="仿宋_GB2312" w:cs="Times New Roman"/>
          <w:sz w:val="32"/>
          <w:szCs w:val="32"/>
          <w:lang w:val="en-US" w:eastAsia="zh-CN"/>
        </w:rPr>
        <w:t>关于研究优化盘后交易机制的工作安排，</w:t>
      </w:r>
      <w:r>
        <w:rPr>
          <w:rFonts w:hint="eastAsia" w:ascii="Times New Roman" w:hAnsi="Times New Roman" w:eastAsia="仿宋_GB2312" w:cs="Times New Roman"/>
          <w:sz w:val="32"/>
          <w:szCs w:val="32"/>
          <w:lang w:val="en-US" w:eastAsia="zh-CN"/>
        </w:rPr>
        <w:t>本次修订将盘后固定价格交易方式适用证券范围由科创板股票扩展至全部A股和交易型开放式基金。相关调整有助于满足投资者以收盘价交易的需求，延长相关品种的交易时间，便利中长期资金入市。</w:t>
      </w:r>
    </w:p>
    <w:p w14:paraId="042310CC">
      <w:pPr>
        <w:widowControl w:val="0"/>
        <w:numPr>
          <w:ilvl w:val="0"/>
          <w:numId w:val="0"/>
        </w:numPr>
        <w:spacing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（三）根据规则变化与业务需要进行适应性修订</w:t>
      </w:r>
    </w:p>
    <w:p w14:paraId="1BB13AE4">
      <w:pPr>
        <w:widowControl w:val="0"/>
        <w:numPr>
          <w:ilvl w:val="0"/>
          <w:numId w:val="0"/>
        </w:numPr>
        <w:spacing w:line="560" w:lineRule="exact"/>
        <w:ind w:firstLine="6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1.整合主板风险警示股票涨跌幅比例限制相关内容</w:t>
      </w:r>
      <w:r>
        <w:rPr>
          <w:rFonts w:hint="eastAsia"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完善风险警示股票相关规定，将前期已公开征求意见的《关于调整主板风险警示股票价格涨跌幅限制比例及有关事项的通知》相关内容一并纳入本次修订，将主板风险警示股票价格涨跌幅限制比例由5%调整为10%，与主板其他股票保持一致。</w:t>
      </w:r>
    </w:p>
    <w:p w14:paraId="165CBBB7">
      <w:pPr>
        <w:widowControl w:val="0"/>
        <w:numPr>
          <w:ilvl w:val="0"/>
          <w:numId w:val="0"/>
        </w:num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2.调整规则表述。</w:t>
      </w:r>
      <w:r>
        <w:rPr>
          <w:rFonts w:hint="eastAsia"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sz w:val="32"/>
          <w:szCs w:val="32"/>
          <w:lang w:val="en-US" w:eastAsia="zh-CN"/>
        </w:rPr>
        <w:t>是明确会员及其他交易参与人违反《交易规则》的，本所根据会员管理规则等相关规定采取自律监管措施或纪律处分，不再在《交易规则》中具体规定，相应删除原“纪律处分”章节。二是配合盘后固定价格交易适用范围扩展，完善投资者单日买入单只风险警示股票数量上限相关表述，通过盘后固定价格交易买入的风险警示股票一并纳入累计买入数量计算。三是完善交易权限、交易申报数量、开盘价与收盘价等条文表述。</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auto"/>
    <w:pitch w:val="default"/>
    <w:sig w:usb0="00000000" w:usb1="00000000" w:usb2="00000016" w:usb3="00000000" w:csb0="00040001"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BBB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007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22DAA"/>
    <w:rsid w:val="01737E4E"/>
    <w:rsid w:val="021567F9"/>
    <w:rsid w:val="021A26A8"/>
    <w:rsid w:val="02244936"/>
    <w:rsid w:val="06D17F46"/>
    <w:rsid w:val="0C890043"/>
    <w:rsid w:val="0DC87629"/>
    <w:rsid w:val="0DE22DAA"/>
    <w:rsid w:val="11FB4CEC"/>
    <w:rsid w:val="12A663EA"/>
    <w:rsid w:val="12CD5618"/>
    <w:rsid w:val="14A35169"/>
    <w:rsid w:val="18FF4051"/>
    <w:rsid w:val="19D94077"/>
    <w:rsid w:val="1AAA1379"/>
    <w:rsid w:val="1B853D32"/>
    <w:rsid w:val="20127405"/>
    <w:rsid w:val="209D0A53"/>
    <w:rsid w:val="242563D2"/>
    <w:rsid w:val="250F3A8F"/>
    <w:rsid w:val="28844B85"/>
    <w:rsid w:val="28E2130E"/>
    <w:rsid w:val="29652F79"/>
    <w:rsid w:val="2A6818A2"/>
    <w:rsid w:val="2BCFF48F"/>
    <w:rsid w:val="2BFB3BE2"/>
    <w:rsid w:val="2C133ADC"/>
    <w:rsid w:val="2DB6187B"/>
    <w:rsid w:val="2DBEF417"/>
    <w:rsid w:val="2DCE7635"/>
    <w:rsid w:val="2E7B49AE"/>
    <w:rsid w:val="30B90443"/>
    <w:rsid w:val="3125512E"/>
    <w:rsid w:val="335608C6"/>
    <w:rsid w:val="33C06085"/>
    <w:rsid w:val="347B64AA"/>
    <w:rsid w:val="34F862A0"/>
    <w:rsid w:val="34FD577E"/>
    <w:rsid w:val="35074A20"/>
    <w:rsid w:val="36180DF6"/>
    <w:rsid w:val="376C67FD"/>
    <w:rsid w:val="3CC72F54"/>
    <w:rsid w:val="3F7516DA"/>
    <w:rsid w:val="3FE7A186"/>
    <w:rsid w:val="40464188"/>
    <w:rsid w:val="41792E05"/>
    <w:rsid w:val="41B27457"/>
    <w:rsid w:val="43BFD7B2"/>
    <w:rsid w:val="45A602D1"/>
    <w:rsid w:val="4DB0334E"/>
    <w:rsid w:val="4DC1731C"/>
    <w:rsid w:val="4F606DC8"/>
    <w:rsid w:val="51036F98"/>
    <w:rsid w:val="521E6BED"/>
    <w:rsid w:val="530D52D0"/>
    <w:rsid w:val="549534E0"/>
    <w:rsid w:val="5B335F2F"/>
    <w:rsid w:val="5BA14773"/>
    <w:rsid w:val="5CE24971"/>
    <w:rsid w:val="5F16C394"/>
    <w:rsid w:val="61C12EA6"/>
    <w:rsid w:val="65A044CA"/>
    <w:rsid w:val="67983630"/>
    <w:rsid w:val="68A65864"/>
    <w:rsid w:val="6AA73F08"/>
    <w:rsid w:val="6C6E39DF"/>
    <w:rsid w:val="6ED20ADF"/>
    <w:rsid w:val="6ED53C62"/>
    <w:rsid w:val="725A4828"/>
    <w:rsid w:val="74AEEF70"/>
    <w:rsid w:val="77FE9348"/>
    <w:rsid w:val="79173937"/>
    <w:rsid w:val="793A2BF2"/>
    <w:rsid w:val="79CE38B1"/>
    <w:rsid w:val="7B612B91"/>
    <w:rsid w:val="7B7F070B"/>
    <w:rsid w:val="7C9F46FB"/>
    <w:rsid w:val="7CE0443F"/>
    <w:rsid w:val="7D5B3637"/>
    <w:rsid w:val="7D6DEE31"/>
    <w:rsid w:val="7DC6408C"/>
    <w:rsid w:val="7EFD1D2A"/>
    <w:rsid w:val="7FFBD355"/>
    <w:rsid w:val="7FFFB603"/>
    <w:rsid w:val="937D2ACC"/>
    <w:rsid w:val="C5CEA37A"/>
    <w:rsid w:val="CFFF0E2B"/>
    <w:rsid w:val="D3FA0194"/>
    <w:rsid w:val="D7FBA867"/>
    <w:rsid w:val="DA2EB448"/>
    <w:rsid w:val="DBFD6924"/>
    <w:rsid w:val="DC6FA834"/>
    <w:rsid w:val="DEE559D7"/>
    <w:rsid w:val="DF5E1631"/>
    <w:rsid w:val="EBEF8514"/>
    <w:rsid w:val="EF7FE7AD"/>
    <w:rsid w:val="F3E5F19C"/>
    <w:rsid w:val="F5FF650C"/>
    <w:rsid w:val="F7FF88DC"/>
    <w:rsid w:val="F976F111"/>
    <w:rsid w:val="FC7F44DB"/>
    <w:rsid w:val="FDFB4823"/>
    <w:rsid w:val="FFBA6293"/>
    <w:rsid w:val="FFED6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Normal Indent"/>
    <w:basedOn w:val="1"/>
    <w:next w:val="4"/>
    <w:qFormat/>
    <w:uiPriority w:val="0"/>
    <w:pPr>
      <w:ind w:firstLine="420"/>
    </w:pPr>
    <w:rPr>
      <w:szCs w:val="20"/>
    </w:rPr>
  </w:style>
  <w:style w:type="paragraph" w:customStyle="1" w:styleId="4">
    <w:name w:val="正文正文"/>
    <w:basedOn w:val="1"/>
    <w:qFormat/>
    <w:uiPriority w:val="0"/>
    <w:pPr>
      <w:spacing w:line="460" w:lineRule="exact"/>
      <w:ind w:firstLine="200" w:firstLineChars="200"/>
    </w:pPr>
    <w:rPr>
      <w:rFonts w:ascii="仿宋"/>
      <w:sz w:val="28"/>
    </w:rPr>
  </w:style>
  <w:style w:type="paragraph" w:styleId="5">
    <w:name w:val="annotation text"/>
    <w:basedOn w:val="1"/>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on"/>
    <w:basedOn w:val="9"/>
    <w:qFormat/>
    <w:uiPriority w:val="0"/>
    <w:rPr>
      <w:color w:val="333333"/>
    </w:rPr>
  </w:style>
  <w:style w:type="character" w:customStyle="1" w:styleId="13">
    <w:name w:val="fontstyle11"/>
    <w:basedOn w:val="9"/>
    <w:qFormat/>
    <w:uiPriority w:val="0"/>
    <w:rPr>
      <w:rFonts w:ascii="仿宋_GB2312" w:hAnsi="仿宋_GB2312" w:eastAsia="仿宋_GB2312" w:cs="仿宋_GB2312"/>
      <w:color w:val="000000"/>
      <w:sz w:val="30"/>
      <w:szCs w:val="3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883</Words>
  <Characters>888</Characters>
  <Lines>0</Lines>
  <Paragraphs>0</Paragraphs>
  <TotalTime>99</TotalTime>
  <ScaleCrop>false</ScaleCrop>
  <LinksUpToDate>false</LinksUpToDate>
  <CharactersWithSpaces>896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2025-09-12T10:56:00Z</dcterms:created>
  <dc:creator>sse</dc:creator>
  <cp:lastModifiedBy>whxu</cp:lastModifiedBy>
  <cp:lastPrinted>2025-11-04T01:10:00Z</cp:lastPrinted>
  <dcterms:modified xsi:type="dcterms:W3CDTF">2026-04-10T16:07:55Z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CBC0CA2E8D9BF59AAFAFD869B0555306_43</vt:lpwstr>
  </property>
</Properties>
</file>