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附件2：</w:t>
      </w:r>
    </w:p>
    <w:p>
      <w:pPr>
        <w:ind w:right="-176" w:rightChars="-8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会计师事务所财务报表及审核公式</w:t>
      </w:r>
    </w:p>
    <w:bookmarkEnd w:id="0"/>
    <w:p>
      <w:pPr>
        <w:jc w:val="center"/>
      </w:pPr>
      <w:r>
        <w:drawing>
          <wp:inline distT="0" distB="0" distL="114300" distR="114300">
            <wp:extent cx="6364605" cy="5081905"/>
            <wp:effectExtent l="0" t="0" r="5715" b="825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4605" cy="508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6"/>
        <w:gridCol w:w="430"/>
        <w:gridCol w:w="645"/>
        <w:gridCol w:w="2480"/>
        <w:gridCol w:w="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财务负责人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填表人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电话号码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单位执行会计制度</w:t>
            </w:r>
          </w:p>
        </w:tc>
        <w:tc>
          <w:tcPr>
            <w:tcW w:w="93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（下拉菜单）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单位纳税人类型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新报因素  </w:t>
            </w:r>
          </w:p>
        </w:tc>
        <w:tc>
          <w:tcPr>
            <w:tcW w:w="2409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上年情况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本年12月31日情况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栏次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一、从业人员总人数（含注册会计师和合伙人）*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1.合伙人（或）出资人人数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不属于注册会计师的合伙人人数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2．注册会计师人数(不含合伙人或出资人人数)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（系统中注册模块上年度12月31日数据）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3．其他人员人数**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其中：从事审计等鉴证业务人员人数***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5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二、取得其他资格人数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1．税务师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2．评估师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其中：资产评估师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房地产估价师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土地估价师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其他评估师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3．造价工程师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4．法律职业资格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5．其他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三、国际网络名称（如有）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四、在港澳台及境外设立的分支机构（如有，单位：个）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五、客户数量（单位：个）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1.财务报表审计户数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2.专项审计户数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3.内部控制审计户数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4.验资户数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5.资产评估户数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6.涉税鉴证户数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7.工程预决算审核户数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8.其他鉴证业务户数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9.会计服务户数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10.税务服务户数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11.咨询服务户数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12.其他业务户数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六、信息化建设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1.信息技术人员数量****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1.1  事务所中具有信息系统审计师（CISA）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1.2  IT 审计师（ITA）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1.3  中国信息安全专业认证(CISP）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1.4  信息系统安全专业认证（CISSP）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1.5  思科网络专家(CCIE）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1.6  软件工程造价师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2.所内使用的审计作业软件名称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3.所内使用的管理软件工具名称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4.使用审计软件的审计项目占比（使用审计软件的审计项目/全部审计项目）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七、国际化人才建设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1.主要从事国际业务的员工人数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2.取得境外资质的注册会计师人数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八、当年招收应届毕业生人数</w:t>
            </w:r>
          </w:p>
        </w:tc>
        <w:tc>
          <w:tcPr>
            <w:tcW w:w="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jc w:val="right"/>
            </w:pPr>
          </w:p>
        </w:tc>
        <w:tc>
          <w:tcPr>
            <w:tcW w:w="11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**指截至12月31日的其他人员数量总数，由从事审计等鉴证业务人员和不从事审计等鉴证等业务人员构成。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***指截至12月31日在事务所从事鉴证业务的员工数，不含注册会计师和合伙人。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</w:tbl>
    <w:p/>
    <w:p>
      <w:pPr>
        <w:sectPr>
          <w:footerReference r:id="rId3" w:type="default"/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526"/>
        <w:gridCol w:w="837"/>
        <w:gridCol w:w="837"/>
        <w:gridCol w:w="2698"/>
        <w:gridCol w:w="527"/>
        <w:gridCol w:w="837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资产负债表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会所02表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     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负债和所有者权益（或股东权益）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年初余额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期末余额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货币资金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短期借款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以公允价值计量且其变动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计入当期损益的金融负债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衍生金融负债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应收票据及应收账款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应付票据及应付账款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预付款项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预收款项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应付职工薪酬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存货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应交税费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持有待售负债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一年内到期的非流动负债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非流动资产：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可供出售金融资产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非流动负债：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持有至到期投资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长期借款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长期应收款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应付债券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长期股权投资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投资性房地产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固定资产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长期应付款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在建工程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预计负债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生产性生物资产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油气资产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无形资产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其他非流动负债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开发支出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商誉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长期待摊费用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所有者权益（或股东权益)：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递延所得税资产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实收资本（或股本）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其他非流动资产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其他权益工具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非流动资产合计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其中：优先股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永续债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资本公积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减：库存股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其他综合收益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盈余公积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未分配利润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所有者权益(或股东权益）合计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负债和所有者权益(或股东权益)总计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ectPr>
          <w:pgSz w:w="11906" w:h="16838"/>
          <w:pgMar w:top="1800" w:right="1440" w:bottom="1800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131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8"/>
        <w:gridCol w:w="652"/>
        <w:gridCol w:w="3353"/>
        <w:gridCol w:w="3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利润表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一、营业收入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减：业务成本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税金及附加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销售费用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管理费用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研发费用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财务费用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其中：利息费用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利息收入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资产减值损失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加：其他收益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投资收益（损失以“-”号填列）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其中：对联营企业和合营企业的投资收益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公允价值变动收益（损失以“-”号填列）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资产处置收益（损失以“-”号填列）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二、营业利润（亏损以"－"号填列）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加：营业外收入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减：营业外支出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其中：公益性捐赠支出*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三、利润总额（亏损以"-"号填列）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减：所得税费用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四、净利润（亏损以"-"号填列）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(一）持续经营净利润（净亏损以“-”号填列）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(二）终止经营净利润（净亏损以“-”号填列）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五、其他综合收益的税后净额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(一）不能重分类进损益的其他综合收益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1.重新计量设定受益计划变动额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2.权益法下不能转损益的其他综合收益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(二）将重分类进损益的其他综合收益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1.权益法下可转损益的其他综合收益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2.可供出售金融资产公允价值变动损益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3.持有至到期投资重分类为可供出售金融资产损益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4.现金流量套期损益的有效部分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5.外币财务报表折算差额    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六、综合收益总额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七、每股收益：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(一）基本每股收益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5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(二）稀释每股收益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2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78" w:type="dxa"/>
            <w:gridSpan w:val="4"/>
            <w:tcBorders>
              <w:top w:val="nil"/>
              <w:left w:val="nil"/>
              <w:bottom w:val="single" w:color="D9D9D9" w:sz="4" w:space="0"/>
              <w:right w:val="single" w:color="D9D9D9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ED4014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ED4014"/>
                <w:kern w:val="0"/>
                <w:sz w:val="18"/>
                <w:szCs w:val="18"/>
                <w:u w:val="none"/>
                <w:lang w:val="en-US" w:eastAsia="zh-CN" w:bidi="ar"/>
              </w:rPr>
              <w:t>*指事务所用于符合法律规定的公益慈善事业捐赠支出总额，如抗疫救灾、抢险救灾、扶贫助困等。</w:t>
            </w:r>
          </w:p>
        </w:tc>
      </w:tr>
    </w:tbl>
    <w:p>
      <w:r>
        <w:br w:type="page"/>
      </w:r>
    </w:p>
    <w:tbl>
      <w:tblPr>
        <w:tblStyle w:val="18"/>
        <w:tblW w:w="527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3"/>
        <w:gridCol w:w="1241"/>
        <w:gridCol w:w="1241"/>
        <w:gridCol w:w="864"/>
        <w:gridCol w:w="1241"/>
        <w:gridCol w:w="1241"/>
        <w:gridCol w:w="864"/>
        <w:gridCol w:w="28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89" w:type="pct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2517" w:type="pct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2517" w:type="pct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1115" w:type="pct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2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4989" w:type="pct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402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2424"/>
        <w:gridCol w:w="2460"/>
        <w:gridCol w:w="28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59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402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tbl>
            <w:tblPr>
              <w:tblStyle w:val="18"/>
              <w:tblW w:w="3241" w:type="dxa"/>
              <w:tblInd w:w="9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" w:hRule="atLeast"/>
              </w:trPr>
              <w:tc>
                <w:tcPr>
                  <w:tcW w:w="3240" w:type="dxa"/>
                  <w:tcBorders>
                    <w:top w:val="nil"/>
                    <w:left w:val="nil"/>
                    <w:bottom w:val="single" w:color="000000" w:sz="4" w:space="0"/>
                    <w:right w:val="single" w:color="D4D4D4" w:sz="4" w:space="0"/>
                  </w:tcBorders>
                  <w:shd w:val="clear" w:color="auto" w:fill="C0C0C0"/>
                  <w:noWrap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行业(*此处行业指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Cs w:val="21"/>
                      <w:lang w:val="en-US" w:eastAsia="zh-CN"/>
                    </w:rPr>
                    <w:t>被审计单位所处行业)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（下拉菜单）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8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8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402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pPr w:leftFromText="180" w:rightFromText="180" w:vertAnchor="text" w:horzAnchor="page" w:tblpX="993" w:tblpY="88"/>
        <w:tblOverlap w:val="never"/>
        <w:tblW w:w="10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9"/>
        <w:gridCol w:w="1429"/>
        <w:gridCol w:w="1411"/>
        <w:gridCol w:w="4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主营业务成本表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064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8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工作底稿印刷费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</w:pPr>
      <w:r>
        <w:br w:type="page"/>
      </w:r>
    </w:p>
    <w:tbl>
      <w:tblPr>
        <w:tblStyle w:val="18"/>
        <w:tblW w:w="9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  <w:gridCol w:w="912"/>
        <w:gridCol w:w="1788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29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管理费用表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其中：合伙人（股东）工资薪酬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注册会计师工资（除合伙人外）薪酬支出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高级经理级人员工资薪酬支出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经理级人员工资薪酬支出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其他人员工资薪酬支出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职工福利费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其中：办公场所租赁支出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交通工具、办公设备租赁支出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其他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职业责任保险费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职业风险基金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物料用品消耗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折旧费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低值易耗品摊销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聘请中介机构费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诉讼费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行业会费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业务招待费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上缴管理费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其中：上缴国内管理总部管理费或服务费等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上交国际会计网络年费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存货盘亏或盘盈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计提坏账准备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计提的存货跌价准备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0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tbl>
      <w:tblPr>
        <w:tblStyle w:val="18"/>
        <w:tblpPr w:leftFromText="180" w:rightFromText="180" w:vertAnchor="text" w:horzAnchor="page" w:tblpX="1569" w:tblpY="296"/>
        <w:tblOverlap w:val="never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3"/>
        <w:gridCol w:w="945"/>
        <w:gridCol w:w="2292"/>
        <w:gridCol w:w="2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专项支出统计表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会所03表附表3-1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上年数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本年累计数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人才培养支出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其中：境内培训支出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境外培训支出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信息化支出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其中：审计作业系统开发、采购及运维费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内部管理系统开发、采购及运维费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基础设施采购及运维费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网络服务费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信息安全合规类费用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61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94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78" w:type="dxa"/>
            <w:gridSpan w:val="4"/>
            <w:tcBorders>
              <w:top w:val="nil"/>
              <w:left w:val="nil"/>
              <w:bottom w:val="nil"/>
              <w:right w:val="single" w:color="D4D4D4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注：*请仔细阅读指标口径后，根据指标口径进行填写。具体指标口径说明请点击如下链接或指标名称下载：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4558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  <w:tc>
          <w:tcPr>
            <w:tcW w:w="452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u w:val="single"/>
              </w:rPr>
              <w:t>_说明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6"/>
        <w:gridCol w:w="576"/>
        <w:gridCol w:w="1648"/>
        <w:gridCol w:w="1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现金流量表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86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2025年度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会所04表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        目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上期金额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本期金额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        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--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一、经营活动产生的现金流量：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销售商品、提供劳务收到的现金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收到的税费返还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购买商品、接受劳务支付的现金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支付给职工以及为职工支付的现金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支付的各项税费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支付其他与经营活动有关的现金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经营活动现金流出小计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经营活动产生的现金流量净额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二、投资活动产生的现金流量：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收回投资收到的现金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取得投资收益收到的现金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处置固定资产、无形资产和其他长期资产收回的现金净额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处置子公司及其他营业单位收到的现金净额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购建固定资产、无形资产和其他长期资产支付的现金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投资支付的现金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取得子公司及其他营业单位支付的现金净额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支付其他与投资活动有关的现金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投资活动现金流出小计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投资活动产生的现金流量净额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三、筹资活动产生的现金流量：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吸收投资收到的现金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取得借款收到的现金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收到其他与筹资活动有关的现金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筹资活动现金流入小计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偿还债务支付的现金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分配股利、利润或偿付利息支付的现金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支付其他与筹资活动有关的现金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筹资活动现金流出小计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筹资活动产生的现金流量净额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四、汇率变动对现金及现金等价物的影响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五、现金及现金等价物净增加额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加：期初现金及现金等价物余额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9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六、期末现金及现金等价物余额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805"/>
        <w:gridCol w:w="450"/>
        <w:gridCol w:w="503"/>
        <w:gridCol w:w="503"/>
        <w:gridCol w:w="503"/>
        <w:gridCol w:w="503"/>
        <w:gridCol w:w="752"/>
        <w:gridCol w:w="626"/>
        <w:gridCol w:w="503"/>
        <w:gridCol w:w="757"/>
        <w:gridCol w:w="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461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  <w:lang w:eastAsia="zh-CN"/>
              </w:rPr>
              <w:t>2025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977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583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80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7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  <w:highlight w:val="none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none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none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tbl>
      <w:tblPr>
        <w:tblStyle w:val="18"/>
        <w:tblpPr w:leftFromText="180" w:rightFromText="180" w:vertAnchor="text" w:horzAnchor="page" w:tblpX="1527" w:tblpY="47"/>
        <w:tblOverlap w:val="never"/>
        <w:tblW w:w="142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992"/>
        <w:gridCol w:w="1295"/>
        <w:gridCol w:w="1484"/>
        <w:gridCol w:w="2409"/>
        <w:gridCol w:w="1484"/>
        <w:gridCol w:w="3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7664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7664" w:type="dxa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32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28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exact"/>
        </w:trPr>
        <w:tc>
          <w:tcPr>
            <w:tcW w:w="14208" w:type="dxa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tbl>
      <w:tblPr>
        <w:tblStyle w:val="18"/>
        <w:tblpPr w:leftFromText="180" w:rightFromText="180" w:vertAnchor="text" w:horzAnchor="page" w:tblpX="1436" w:tblpY="86"/>
        <w:tblOverlap w:val="never"/>
        <w:tblW w:w="526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9"/>
        <w:gridCol w:w="588"/>
        <w:gridCol w:w="1761"/>
        <w:gridCol w:w="1850"/>
        <w:gridCol w:w="588"/>
        <w:gridCol w:w="1761"/>
        <w:gridCol w:w="1850"/>
        <w:gridCol w:w="591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none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3012" w:type="pct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1407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726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2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12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三、经其他事务所审计的财务报告业务收入*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四、统一经营的其他专业机构业务收入(上年)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五、国际业务收入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1.境外分支机构收入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2.为内地企业提供境外上市、融资或其他审计服务取得的收入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7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3.来源于境外客户的其他收入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  <w:shd w:val="clear" w:color="auto" w:fill="auto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5000" w:type="pct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1157"/>
        <w:gridCol w:w="1440"/>
        <w:gridCol w:w="249"/>
        <w:gridCol w:w="6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none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4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none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57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none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现金流量表38行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leftChars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1行=业务收入表17行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2行</w:t>
      </w:r>
      <w:r>
        <w:rPr>
          <w:rFonts w:hint="eastAsia" w:ascii="Times New Roman" w:hAnsi="Times New Roman" w:eastAsia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主营业务成本表27行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5行=管理费用表37行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17行=1行+1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与5行差异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5%</w:t>
      </w:r>
    </w:p>
    <w:p>
      <w:pPr>
        <w:numPr>
          <w:ilvl w:val="0"/>
          <w:numId w:val="6"/>
        </w:numPr>
        <w:spacing w:line="600" w:lineRule="exact"/>
        <w:ind w:left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/>
          <w:sz w:val="32"/>
          <w:szCs w:val="32"/>
        </w:rPr>
        <w:t>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3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变动表与其他各表之间的勾稽关系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p>
      <w:pPr>
        <w:numPr>
          <w:ilvl w:val="-1"/>
          <w:numId w:val="0"/>
        </w:numPr>
        <w:spacing w:line="60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1ACA53AF"/>
    <w:multiLevelType w:val="singleLevel"/>
    <w:tmpl w:val="1ACA53A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4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295631E"/>
    <w:rsid w:val="0B1C2F36"/>
    <w:rsid w:val="11811943"/>
    <w:rsid w:val="16603343"/>
    <w:rsid w:val="19FB7AAE"/>
    <w:rsid w:val="21F27BBF"/>
    <w:rsid w:val="2A5572D7"/>
    <w:rsid w:val="2D9400E4"/>
    <w:rsid w:val="2F3E32C4"/>
    <w:rsid w:val="319C0EDE"/>
    <w:rsid w:val="330F2A27"/>
    <w:rsid w:val="33E35607"/>
    <w:rsid w:val="380172A6"/>
    <w:rsid w:val="45C21DFF"/>
    <w:rsid w:val="4AC20ADF"/>
    <w:rsid w:val="4EFF7DEE"/>
    <w:rsid w:val="52B453A5"/>
    <w:rsid w:val="5992312D"/>
    <w:rsid w:val="5AED79B9"/>
    <w:rsid w:val="5E4678CF"/>
    <w:rsid w:val="5E9D4AB1"/>
    <w:rsid w:val="5F6153F7"/>
    <w:rsid w:val="61DB6B32"/>
    <w:rsid w:val="61EF707C"/>
    <w:rsid w:val="64017842"/>
    <w:rsid w:val="6F1C560D"/>
    <w:rsid w:val="747D3712"/>
    <w:rsid w:val="7CE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unhideWhenUsed/>
    <w:qFormat/>
    <w:uiPriority w:val="99"/>
    <w:pPr>
      <w:jc w:val="left"/>
    </w:pPr>
  </w:style>
  <w:style w:type="paragraph" w:styleId="6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qFormat/>
    <w:uiPriority w:val="0"/>
    <w:pPr>
      <w:ind w:left="100" w:leftChars="2500"/>
    </w:p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qFormat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qFormat/>
    <w:uiPriority w:val="0"/>
    <w:rPr>
      <w:rFonts w:ascii="黑体" w:hAnsi="黑体" w:eastAsia="黑体"/>
    </w:rPr>
  </w:style>
  <w:style w:type="character" w:customStyle="1" w:styleId="52">
    <w:name w:val="apple-converted-space"/>
    <w:qFormat/>
    <w:uiPriority w:val="0"/>
  </w:style>
  <w:style w:type="character" w:customStyle="1" w:styleId="53">
    <w:name w:val="zsw Char"/>
    <w:link w:val="54"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29</Pages>
  <Words>2369</Words>
  <Characters>13507</Characters>
  <Lines>112</Lines>
  <Paragraphs>31</Paragraphs>
  <TotalTime>1</TotalTime>
  <ScaleCrop>false</ScaleCrop>
  <LinksUpToDate>false</LinksUpToDate>
  <CharactersWithSpaces>15845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 石头liz </cp:lastModifiedBy>
  <cp:lastPrinted>2026-02-04T07:43:00Z</cp:lastPrinted>
  <dcterms:modified xsi:type="dcterms:W3CDTF">2026-02-04T07:51:23Z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7C67AA24720B45D586E180774C24F78C</vt:lpwstr>
  </property>
</Properties>
</file>