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146" w:rsidRPr="008165A9" w:rsidRDefault="003006EC">
      <w:pPr>
        <w:spacing w:line="500" w:lineRule="exact"/>
        <w:rPr>
          <w:rFonts w:ascii="方正大标宋简体" w:eastAsia="方正大标宋简体" w:hAnsi="方正大标宋简体" w:cs="方正大标宋简体"/>
          <w:sz w:val="42"/>
          <w:szCs w:val="42"/>
        </w:rPr>
      </w:pPr>
      <w:r w:rsidRPr="008165A9">
        <w:rPr>
          <w:rFonts w:ascii="方正大标宋简体" w:eastAsia="方正大标宋简体" w:hAnsi="方正大标宋简体" w:cs="方正大标宋简体" w:hint="eastAsia"/>
          <w:sz w:val="42"/>
          <w:szCs w:val="42"/>
        </w:rPr>
        <w:t>附件</w:t>
      </w:r>
      <w:r w:rsidRPr="008165A9">
        <w:rPr>
          <w:rFonts w:ascii="方正大标宋简体" w:eastAsia="方正大标宋简体" w:hAnsi="方正大标宋简体" w:cs="方正大标宋简体" w:hint="eastAsia"/>
          <w:sz w:val="42"/>
          <w:szCs w:val="42"/>
        </w:rPr>
        <w:t>3</w:t>
      </w:r>
    </w:p>
    <w:p w:rsidR="00CF2146" w:rsidRDefault="00CF2146">
      <w:pPr>
        <w:spacing w:line="500" w:lineRule="exact"/>
        <w:rPr>
          <w:rFonts w:ascii="方正大标宋简体" w:eastAsia="方正大标宋简体" w:hAnsi="方正大标宋简体" w:cs="方正大标宋简体"/>
          <w:sz w:val="30"/>
          <w:szCs w:val="30"/>
        </w:rPr>
      </w:pPr>
    </w:p>
    <w:p w:rsidR="00CF2146" w:rsidRDefault="003006EC">
      <w:pPr>
        <w:spacing w:line="560" w:lineRule="exact"/>
        <w:jc w:val="center"/>
        <w:outlineLvl w:val="0"/>
        <w:rPr>
          <w:rFonts w:ascii="方正大标宋简体" w:eastAsia="方正大标宋简体" w:hAnsi="方正大标宋简体" w:cs="Times New Roman"/>
          <w:sz w:val="42"/>
          <w:szCs w:val="42"/>
        </w:rPr>
      </w:pPr>
      <w:r>
        <w:rPr>
          <w:rFonts w:ascii="方正大标宋简体" w:eastAsia="方正大标宋简体" w:hAnsi="方正大标宋简体" w:cs="Times New Roman"/>
          <w:sz w:val="42"/>
          <w:szCs w:val="42"/>
        </w:rPr>
        <w:t>上海期货交易所铅期货业务细则</w:t>
      </w:r>
    </w:p>
    <w:p w:rsidR="00CF2146" w:rsidRDefault="003006EC">
      <w:pPr>
        <w:spacing w:line="560" w:lineRule="exact"/>
        <w:jc w:val="center"/>
        <w:outlineLvl w:val="0"/>
        <w:rPr>
          <w:rFonts w:ascii="方正大标宋简体" w:eastAsia="方正大标宋简体" w:hAnsi="方正大标宋简体" w:cs="Times New Roman"/>
          <w:sz w:val="36"/>
          <w:szCs w:val="36"/>
        </w:rPr>
      </w:pPr>
      <w:r>
        <w:rPr>
          <w:rFonts w:ascii="方正大标宋简体" w:eastAsia="方正大标宋简体" w:hAnsi="方正大标宋简体" w:cs="Times New Roman" w:hint="eastAsia"/>
          <w:sz w:val="36"/>
          <w:szCs w:val="36"/>
        </w:rPr>
        <w:t>（修订案）</w:t>
      </w:r>
    </w:p>
    <w:p w:rsidR="00CF2146" w:rsidRDefault="00CF2146">
      <w:pPr>
        <w:spacing w:line="560" w:lineRule="exact"/>
        <w:jc w:val="center"/>
        <w:outlineLvl w:val="0"/>
        <w:rPr>
          <w:rFonts w:ascii="方正大标宋简体" w:eastAsia="方正大标宋简体" w:hAnsi="方正大标宋简体" w:cs="Times New Roman"/>
          <w:sz w:val="36"/>
          <w:szCs w:val="36"/>
        </w:rPr>
      </w:pPr>
    </w:p>
    <w:p w:rsidR="00CF2146" w:rsidRDefault="003006EC">
      <w:pPr>
        <w:spacing w:line="56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第一章</w:t>
      </w:r>
      <w:r>
        <w:rPr>
          <w:rFonts w:ascii="Times New Roman" w:eastAsia="黑体" w:hAnsi="Times New Roman" w:cs="Times New Roman" w:hint="eastAsia"/>
          <w:sz w:val="30"/>
          <w:szCs w:val="30"/>
        </w:rPr>
        <w:t xml:space="preserve"> </w:t>
      </w:r>
      <w:r>
        <w:rPr>
          <w:rFonts w:ascii="Times New Roman" w:eastAsia="黑体" w:hAnsi="Times New Roman" w:cs="Times New Roman"/>
          <w:sz w:val="30"/>
          <w:szCs w:val="30"/>
        </w:rPr>
        <w:t>总</w:t>
      </w:r>
      <w:r>
        <w:rPr>
          <w:rFonts w:ascii="Times New Roman" w:eastAsia="黑体" w:hAnsi="Times New Roman" w:cs="Times New Roman" w:hint="eastAsia"/>
          <w:sz w:val="30"/>
          <w:szCs w:val="30"/>
        </w:rPr>
        <w:t xml:space="preserve"> </w:t>
      </w:r>
      <w:r>
        <w:rPr>
          <w:rFonts w:ascii="Times New Roman" w:eastAsia="黑体" w:hAnsi="Times New Roman" w:cs="Times New Roman"/>
          <w:sz w:val="30"/>
          <w:szCs w:val="30"/>
        </w:rPr>
        <w:t>则</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第一条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为了规范上海期货交易所（以下简称交易所）铅期货相关业务，根据《上海期货交易所交易规则》《上海期货交易所铅期货合约》以及相关业务规则，制定本细则。</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交易所、会员、客户、交割库、指定检验机构、期货保证金存管机构以及期货市场其他参与者应当遵守本细则。</w:t>
      </w:r>
    </w:p>
    <w:p w:rsidR="00CF2146" w:rsidRDefault="003006EC">
      <w:pPr>
        <w:spacing w:line="56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第二章</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交易业务</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铅期货合约的交易单位为</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吨</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手。</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第四条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铅期货合约的报价单位为元（人民币）</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bookmarkStart w:id="0" w:name="_GoBack"/>
      <w:bookmarkEnd w:id="0"/>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第五条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铅期货合约的最小变动价位为</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元</w:t>
      </w:r>
      <w:r>
        <w:rPr>
          <w:rFonts w:ascii="Times New Roman" w:eastAsia="方正仿宋简体" w:hAnsi="Times New Roman" w:cs="Times New Roman"/>
          <w:sz w:val="30"/>
          <w:szCs w:val="30"/>
        </w:rPr>
        <w:t>/</w:t>
      </w:r>
      <w:r>
        <w:rPr>
          <w:rFonts w:ascii="Times New Roman" w:eastAsia="方正仿宋简体" w:hAnsi="Times New Roman" w:cs="Times New Roman"/>
          <w:sz w:val="30"/>
          <w:szCs w:val="30"/>
        </w:rPr>
        <w:t>吨。</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第六条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铅期货合约月份为</w:t>
      </w:r>
      <w:r>
        <w:rPr>
          <w:rFonts w:ascii="Times New Roman" w:eastAsia="方正仿宋简体" w:hAnsi="Times New Roman" w:cs="Times New Roman"/>
          <w:sz w:val="30"/>
          <w:szCs w:val="30"/>
        </w:rPr>
        <w:t>1~12</w:t>
      </w:r>
      <w:r>
        <w:rPr>
          <w:rFonts w:ascii="Times New Roman" w:eastAsia="方正仿宋简体" w:hAnsi="Times New Roman" w:cs="Times New Roman"/>
          <w:sz w:val="30"/>
          <w:szCs w:val="30"/>
        </w:rPr>
        <w:t>月。</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第七条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铅期货合约的交易时间为上午</w:t>
      </w:r>
      <w:r>
        <w:rPr>
          <w:rFonts w:ascii="Times New Roman" w:eastAsia="方正仿宋简体" w:hAnsi="Times New Roman" w:cs="Times New Roman"/>
          <w:sz w:val="30"/>
          <w:szCs w:val="30"/>
        </w:rPr>
        <w:t xml:space="preserve">9:00~11:30 </w:t>
      </w:r>
      <w:r>
        <w:rPr>
          <w:rFonts w:ascii="Times New Roman" w:eastAsia="方正仿宋简体" w:hAnsi="Times New Roman" w:cs="Times New Roman"/>
          <w:sz w:val="30"/>
          <w:szCs w:val="30"/>
        </w:rPr>
        <w:t>，下午</w:t>
      </w:r>
      <w:r>
        <w:rPr>
          <w:rFonts w:ascii="Times New Roman" w:eastAsia="方正仿宋简体" w:hAnsi="Times New Roman" w:cs="Times New Roman"/>
          <w:sz w:val="30"/>
          <w:szCs w:val="30"/>
        </w:rPr>
        <w:t>1:30~3:00</w:t>
      </w:r>
      <w:r>
        <w:rPr>
          <w:rFonts w:ascii="Times New Roman" w:eastAsia="方正仿宋简体" w:hAnsi="Times New Roman" w:cs="Times New Roman"/>
          <w:sz w:val="30"/>
          <w:szCs w:val="30"/>
        </w:rPr>
        <w:t>和交易所规定的其他交易时间。</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第八条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铅期货合约的最后交易日为合约月份的</w:t>
      </w:r>
      <w:r>
        <w:rPr>
          <w:rFonts w:ascii="Times New Roman" w:eastAsia="方正仿宋简体" w:hAnsi="Times New Roman" w:cs="Times New Roman"/>
          <w:sz w:val="30"/>
          <w:szCs w:val="30"/>
        </w:rPr>
        <w:t>15</w:t>
      </w:r>
      <w:r>
        <w:rPr>
          <w:rFonts w:ascii="Times New Roman" w:eastAsia="方正仿宋简体" w:hAnsi="Times New Roman" w:cs="Times New Roman"/>
          <w:sz w:val="30"/>
          <w:szCs w:val="30"/>
        </w:rPr>
        <w:t>日，遇国家法定节假日顺延，春节月份等最后交易日交易所可另行调整并通知。</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第九条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铅期货合约的交易代码为</w:t>
      </w:r>
      <w:r>
        <w:rPr>
          <w:rFonts w:ascii="Times New Roman" w:eastAsia="方正仿宋简体" w:hAnsi="Times New Roman" w:cs="Times New Roman"/>
          <w:sz w:val="30"/>
          <w:szCs w:val="30"/>
        </w:rPr>
        <w:t>PB</w:t>
      </w:r>
      <w:r>
        <w:rPr>
          <w:rFonts w:ascii="Times New Roman" w:eastAsia="方正仿宋简体" w:hAnsi="Times New Roman" w:cs="Times New Roman"/>
          <w:sz w:val="30"/>
          <w:szCs w:val="30"/>
        </w:rPr>
        <w:t>。</w:t>
      </w:r>
    </w:p>
    <w:p w:rsidR="00CF2146" w:rsidRDefault="003006EC">
      <w:pPr>
        <w:spacing w:line="560" w:lineRule="exact"/>
        <w:ind w:firstLineChars="200" w:firstLine="602"/>
        <w:rPr>
          <w:rFonts w:ascii="Times New Roman" w:eastAsia="方正仿宋简体" w:hAnsi="Times New Roman" w:cs="Times New Roman"/>
          <w:b/>
          <w:color w:val="FF0000"/>
          <w:sz w:val="30"/>
          <w:szCs w:val="30"/>
        </w:rPr>
      </w:pPr>
      <w:r>
        <w:rPr>
          <w:rFonts w:ascii="Times New Roman" w:eastAsia="方正仿宋简体" w:hAnsi="Times New Roman" w:cs="Times New Roman"/>
          <w:b/>
          <w:sz w:val="30"/>
          <w:szCs w:val="30"/>
        </w:rPr>
        <w:t>第十条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铅期货套期保值交易持仓额度和套利交易持仓额度，所涉的一般月份是指合约挂牌至交割月前第二月的最后一个交易日，所涉的临近交割月份是指交割月前第一月和交割月份</w:t>
      </w:r>
      <w:r>
        <w:rPr>
          <w:rFonts w:ascii="Times New Roman" w:eastAsia="方正仿宋简体" w:hAnsi="Times New Roman" w:cs="Times New Roman" w:hint="eastAsia"/>
          <w:sz w:val="30"/>
          <w:szCs w:val="30"/>
        </w:rPr>
        <w:t>。</w:t>
      </w:r>
    </w:p>
    <w:p w:rsidR="00CF2146" w:rsidRDefault="003006EC">
      <w:pPr>
        <w:spacing w:line="560" w:lineRule="exact"/>
        <w:ind w:firstLineChars="200" w:firstLine="602"/>
        <w:rPr>
          <w:rFonts w:ascii="Times New Roman" w:eastAsia="方正仿宋简体" w:hAnsi="Times New Roman" w:cs="Times New Roman"/>
          <w:bCs/>
          <w:sz w:val="30"/>
          <w:szCs w:val="30"/>
        </w:rPr>
      </w:pPr>
      <w:r>
        <w:rPr>
          <w:rFonts w:ascii="Times New Roman" w:eastAsia="方正仿宋简体" w:hAnsi="Times New Roman" w:cs="Times New Roman"/>
          <w:b/>
          <w:sz w:val="30"/>
          <w:szCs w:val="30"/>
        </w:rPr>
        <w:lastRenderedPageBreak/>
        <w:t>第十一条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hint="eastAsia"/>
          <w:bCs/>
          <w:sz w:val="30"/>
          <w:szCs w:val="30"/>
        </w:rPr>
        <w:t>按合约方式申请铅期货一般月份套期保值交易持</w:t>
      </w:r>
      <w:r>
        <w:rPr>
          <w:rFonts w:ascii="Times New Roman" w:eastAsia="方正仿宋简体" w:hAnsi="Times New Roman" w:cs="Times New Roman" w:hint="eastAsia"/>
          <w:bCs/>
          <w:sz w:val="30"/>
          <w:szCs w:val="30"/>
        </w:rPr>
        <w:t>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hint="eastAsia"/>
          <w:bCs/>
          <w:sz w:val="30"/>
          <w:szCs w:val="30"/>
        </w:rPr>
        <w:t>铅期货临近交割月份套期保值交易持仓额度的申请应当在该套期保值所涉合约交割月前第二月的第</w:t>
      </w:r>
      <w:r>
        <w:rPr>
          <w:rFonts w:ascii="Times New Roman" w:eastAsia="方正仿宋简体" w:hAnsi="Times New Roman" w:cs="Times New Roman"/>
          <w:sz w:val="30"/>
          <w:szCs w:val="30"/>
        </w:rPr>
        <w:t>一个交易日至交割月前第一月的最后一个交易日之间提出，逾期交易所不再受理；铅期货临近交割月份套利交易持仓额度的申请应当在该套利所涉合约交割月前第二月的第一个交易日至交割月前第一月的最后一个交易日之间提出，逾期交易所不再受理。</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w:t>
      </w:r>
      <w:r>
        <w:rPr>
          <w:rFonts w:ascii="Times New Roman" w:eastAsia="方正仿宋简体" w:hAnsi="Times New Roman" w:cs="Times New Roman"/>
          <w:b/>
          <w:sz w:val="30"/>
          <w:szCs w:val="30"/>
        </w:rPr>
        <w:t>二条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铅期货套期保值交易持仓额度自交割月份第一交易日起不得重复使用。</w:t>
      </w:r>
    </w:p>
    <w:p w:rsidR="00CF2146" w:rsidRDefault="003006EC">
      <w:pPr>
        <w:spacing w:line="56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第三章</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交割业务</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第十三条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铅期货适用期货转现货、仓库交割。</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铅期货实行完税交割。</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第十四条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铅期货交割品级详见《上海期货交易所铅期货合约》。</w:t>
      </w:r>
    </w:p>
    <w:p w:rsidR="00CF2146" w:rsidRDefault="003006EC">
      <w:pPr>
        <w:spacing w:line="560" w:lineRule="exact"/>
        <w:ind w:firstLineChars="200" w:firstLine="602"/>
        <w:rPr>
          <w:rFonts w:ascii="Times New Roman" w:eastAsia="方正仿宋简体" w:hAnsi="Times New Roman" w:cs="Times New Roman"/>
          <w:b/>
          <w:color w:val="FF0000"/>
          <w:sz w:val="30"/>
          <w:szCs w:val="30"/>
        </w:rPr>
      </w:pPr>
      <w:r>
        <w:rPr>
          <w:rFonts w:ascii="Times New Roman" w:eastAsia="方正仿宋简体" w:hAnsi="Times New Roman" w:cs="Times New Roman"/>
          <w:b/>
          <w:sz w:val="30"/>
          <w:szCs w:val="30"/>
        </w:rPr>
        <w:t>第十五条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铅期货交割商品应当是交易所注册的生产企业生产的注册商标的商品。</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第十六条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交割商品的包装</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每一交割单位的铅锭必须是同一生产企业生产、同一注册商标、同一质量品级、同一块形、同一包装数量（捆重近似）的商品组成。注册生产企业自行选定注册产品捆重，但要利于组手，每捆包装应用相应强度且不易锈蚀的包装带捆扎包装，具体要求由交易所另行公告。捆扎应当坚固，同时标有醒目的、不易脱落的产品标识，注明生产厂名称、产品名称、牌号、批号、净重和生产日期。</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（二）到库商品中，遇有包装带断裂的捆件及散块商品，应当重新组合，用规定的包装带捆扎紧固，方可用于交割。包装费用由货主承担。</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（三）</w:t>
      </w:r>
      <w:r>
        <w:rPr>
          <w:rFonts w:ascii="Times New Roman" w:eastAsia="方正仿宋简体" w:hAnsi="Times New Roman" w:cs="Times New Roman" w:hint="eastAsia"/>
          <w:dstrike/>
          <w:sz w:val="30"/>
          <w:szCs w:val="30"/>
        </w:rPr>
        <w:t>国产铅</w:t>
      </w:r>
      <w:r>
        <w:rPr>
          <w:rFonts w:ascii="Times New Roman" w:eastAsia="方正仿宋简体" w:hAnsi="Times New Roman" w:cs="Times New Roman" w:hint="eastAsia"/>
          <w:b/>
          <w:bCs/>
          <w:color w:val="FF0000"/>
          <w:sz w:val="30"/>
          <w:szCs w:val="30"/>
        </w:rPr>
        <w:t>标准品：铅锭</w:t>
      </w:r>
      <w:r>
        <w:rPr>
          <w:rFonts w:ascii="Times New Roman" w:eastAsia="方正仿宋简体" w:hAnsi="Times New Roman" w:cs="Times New Roman" w:hint="eastAsia"/>
          <w:sz w:val="30"/>
          <w:szCs w:val="30"/>
        </w:rPr>
        <w:t>的每锭重量可为</w:t>
      </w:r>
      <w:r>
        <w:rPr>
          <w:rFonts w:ascii="Times New Roman" w:eastAsia="方正仿宋简体" w:hAnsi="Times New Roman" w:cs="Times New Roman" w:hint="eastAsia"/>
          <w:sz w:val="30"/>
          <w:szCs w:val="30"/>
        </w:rPr>
        <w:t>48kg</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3kg</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42kg</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2kg</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24kg</w:t>
      </w:r>
      <w:r>
        <w:rPr>
          <w:rFonts w:ascii="Times New Roman" w:eastAsia="方正仿宋简体" w:hAnsi="Times New Roman" w:cs="Times New Roman" w:hint="eastAsia"/>
          <w:sz w:val="30"/>
          <w:szCs w:val="30"/>
        </w:rPr>
        <w:t>±</w:t>
      </w:r>
      <w:r>
        <w:rPr>
          <w:rFonts w:ascii="Times New Roman" w:eastAsia="方正仿宋简体" w:hAnsi="Times New Roman" w:cs="Times New Roman" w:hint="eastAsia"/>
          <w:sz w:val="30"/>
          <w:szCs w:val="30"/>
        </w:rPr>
        <w:t>1kg</w:t>
      </w:r>
      <w:r>
        <w:rPr>
          <w:rFonts w:ascii="Times New Roman" w:eastAsia="方正仿宋简体" w:hAnsi="Times New Roman" w:cs="Times New Roman" w:hint="eastAsia"/>
          <w:b/>
          <w:bCs/>
          <w:color w:val="FF0000"/>
          <w:sz w:val="30"/>
          <w:szCs w:val="30"/>
        </w:rPr>
        <w:t>；</w:t>
      </w:r>
      <w:r>
        <w:rPr>
          <w:rFonts w:ascii="Times New Roman" w:eastAsia="方正仿宋简体" w:hAnsi="Times New Roman" w:cs="Times New Roman" w:hint="eastAsia"/>
          <w:b/>
          <w:bCs/>
          <w:color w:val="FF0000"/>
          <w:sz w:val="30"/>
          <w:szCs w:val="30"/>
        </w:rPr>
        <w:t>替代品：</w:t>
      </w:r>
      <w:r>
        <w:rPr>
          <w:rFonts w:ascii="Times New Roman" w:eastAsia="方正仿宋简体" w:hAnsi="Times New Roman" w:hint="eastAsia"/>
          <w:b/>
          <w:bCs/>
          <w:color w:val="FF0000"/>
          <w:sz w:val="30"/>
          <w:szCs w:val="30"/>
        </w:rPr>
        <w:t>再生铅锭的</w:t>
      </w:r>
      <w:r>
        <w:rPr>
          <w:rFonts w:ascii="Times New Roman" w:eastAsia="方正仿宋简体" w:hAnsi="Times New Roman"/>
          <w:b/>
          <w:bCs/>
          <w:color w:val="FF0000"/>
          <w:sz w:val="30"/>
          <w:szCs w:val="30"/>
        </w:rPr>
        <w:t>每锭重量</w:t>
      </w:r>
      <w:r>
        <w:rPr>
          <w:rFonts w:ascii="Times New Roman" w:eastAsia="方正仿宋简体" w:hAnsi="Times New Roman" w:hint="eastAsia"/>
          <w:b/>
          <w:bCs/>
          <w:color w:val="FF0000"/>
          <w:sz w:val="30"/>
          <w:szCs w:val="30"/>
        </w:rPr>
        <w:t>可</w:t>
      </w:r>
      <w:r>
        <w:rPr>
          <w:rFonts w:ascii="Times New Roman" w:eastAsia="方正仿宋简体" w:hAnsi="Times New Roman"/>
          <w:b/>
          <w:bCs/>
          <w:color w:val="FF0000"/>
          <w:sz w:val="30"/>
          <w:szCs w:val="30"/>
        </w:rPr>
        <w:t>为</w:t>
      </w:r>
      <w:r>
        <w:rPr>
          <w:rFonts w:ascii="Times New Roman" w:eastAsia="方正仿宋简体" w:hAnsi="Times New Roman" w:hint="eastAsia"/>
          <w:b/>
          <w:bCs/>
          <w:color w:val="FF0000"/>
          <w:sz w:val="30"/>
          <w:szCs w:val="30"/>
        </w:rPr>
        <w:t>48kg</w:t>
      </w:r>
      <w:r>
        <w:rPr>
          <w:rFonts w:ascii="Times New Roman" w:eastAsia="方正仿宋简体" w:hAnsi="Times New Roman" w:hint="eastAsia"/>
          <w:b/>
          <w:bCs/>
          <w:color w:val="FF0000"/>
          <w:sz w:val="30"/>
          <w:szCs w:val="30"/>
        </w:rPr>
        <w:t>±</w:t>
      </w:r>
      <w:r>
        <w:rPr>
          <w:rFonts w:ascii="Times New Roman" w:eastAsia="方正仿宋简体" w:hAnsi="Times New Roman"/>
          <w:b/>
          <w:bCs/>
          <w:color w:val="FF0000"/>
          <w:sz w:val="30"/>
          <w:szCs w:val="30"/>
        </w:rPr>
        <w:t>2</w:t>
      </w:r>
      <w:r>
        <w:rPr>
          <w:rFonts w:ascii="Times New Roman" w:eastAsia="方正仿宋简体" w:hAnsi="Times New Roman" w:hint="eastAsia"/>
          <w:b/>
          <w:bCs/>
          <w:color w:val="FF0000"/>
          <w:sz w:val="30"/>
          <w:szCs w:val="30"/>
        </w:rPr>
        <w:t>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45kg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40kg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30kg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24kg</w:t>
      </w:r>
      <w:r>
        <w:rPr>
          <w:rFonts w:ascii="Times New Roman" w:eastAsia="方正仿宋简体" w:hAnsi="Times New Roman" w:hint="eastAsia"/>
          <w:b/>
          <w:bCs/>
          <w:color w:val="FF0000"/>
          <w:sz w:val="30"/>
          <w:szCs w:val="30"/>
        </w:rPr>
        <w:t>±</w:t>
      </w:r>
      <w:r>
        <w:rPr>
          <w:rFonts w:ascii="Times New Roman" w:eastAsia="方正仿宋简体" w:hAnsi="Times New Roman" w:hint="eastAsia"/>
          <w:b/>
          <w:bCs/>
          <w:color w:val="FF0000"/>
          <w:sz w:val="30"/>
          <w:szCs w:val="30"/>
        </w:rPr>
        <w:t>1kg</w:t>
      </w:r>
      <w:r>
        <w:rPr>
          <w:rFonts w:ascii="Times New Roman" w:eastAsia="方正仿宋简体" w:hAnsi="Times New Roman" w:cs="Times New Roman"/>
          <w:sz w:val="30"/>
          <w:szCs w:val="30"/>
        </w:rPr>
        <w:t>。</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第十七条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交割商品必备单证</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（一）国产商品：应当提供注册生产企业出具的产品质量证明书。</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sz w:val="30"/>
          <w:szCs w:val="30"/>
        </w:rPr>
        <w:t>（二）进口商品：应当提供产品质量证明书、产地证明书、商检证书、海关进口关税专用缴款书、海关代征增值税专用缴款书，经交易所审定合格为有效。</w:t>
      </w:r>
    </w:p>
    <w:p w:rsidR="00CF2146" w:rsidRDefault="003006EC">
      <w:pPr>
        <w:spacing w:line="560" w:lineRule="exact"/>
        <w:ind w:firstLineChars="200" w:firstLine="600"/>
        <w:rPr>
          <w:rFonts w:ascii="Times New Roman" w:eastAsia="方正仿宋简体" w:hAnsi="Times New Roman" w:cs="Times New Roman"/>
          <w:b/>
          <w:color w:val="FF0000"/>
          <w:sz w:val="30"/>
          <w:szCs w:val="30"/>
        </w:rPr>
      </w:pPr>
      <w:r>
        <w:rPr>
          <w:rFonts w:ascii="Times New Roman" w:eastAsia="方正仿宋简体" w:hAnsi="Times New Roman" w:cs="Times New Roman"/>
          <w:sz w:val="30"/>
          <w:szCs w:val="30"/>
        </w:rPr>
        <w:t>国家税收、商检等政策调整的，应当遵守其规定，相关进口商品的单证要求由交易所另行发布。</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第十八条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溢短和磅差：每张标准仓单所列铅锭的重量为</w:t>
      </w:r>
      <w:r>
        <w:rPr>
          <w:rFonts w:ascii="Times New Roman" w:eastAsia="方正仿宋简体" w:hAnsi="Times New Roman" w:cs="Times New Roman"/>
          <w:sz w:val="30"/>
          <w:szCs w:val="30"/>
        </w:rPr>
        <w:t>25</w:t>
      </w:r>
      <w:r>
        <w:rPr>
          <w:rFonts w:ascii="Times New Roman" w:eastAsia="方正仿宋简体" w:hAnsi="Times New Roman" w:cs="Times New Roman"/>
          <w:sz w:val="30"/>
          <w:szCs w:val="30"/>
        </w:rPr>
        <w:t>吨，溢短不超过</w:t>
      </w:r>
      <w:r>
        <w:rPr>
          <w:rFonts w:ascii="Times New Roman" w:eastAsia="方正仿宋简体" w:hAnsi="Times New Roman" w:cs="Times New Roman"/>
          <w:sz w:val="30"/>
          <w:szCs w:val="30"/>
        </w:rPr>
        <w:t>±2%</w:t>
      </w:r>
      <w:r>
        <w:rPr>
          <w:rFonts w:ascii="Times New Roman" w:eastAsia="方正仿宋简体" w:hAnsi="Times New Roman" w:cs="Times New Roman"/>
          <w:sz w:val="30"/>
          <w:szCs w:val="30"/>
        </w:rPr>
        <w:t>，磅差不超过</w:t>
      </w:r>
      <w:r>
        <w:rPr>
          <w:rFonts w:ascii="Times New Roman" w:eastAsia="方正仿宋简体" w:hAnsi="Times New Roman" w:cs="Times New Roman"/>
          <w:sz w:val="30"/>
          <w:szCs w:val="30"/>
        </w:rPr>
        <w:t>±0.1%</w:t>
      </w:r>
      <w:r>
        <w:rPr>
          <w:rFonts w:ascii="Times New Roman" w:eastAsia="方正仿宋简体" w:hAnsi="Times New Roman" w:cs="Times New Roman"/>
          <w:sz w:val="30"/>
          <w:szCs w:val="30"/>
        </w:rPr>
        <w:t>。</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第十九条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铅期货合约的交割单位为</w:t>
      </w:r>
      <w:r>
        <w:rPr>
          <w:rFonts w:ascii="Times New Roman" w:eastAsia="方正仿宋简体" w:hAnsi="Times New Roman" w:cs="Times New Roman"/>
          <w:sz w:val="30"/>
          <w:szCs w:val="30"/>
        </w:rPr>
        <w:t>25</w:t>
      </w:r>
      <w:r>
        <w:rPr>
          <w:rFonts w:ascii="Times New Roman" w:eastAsia="方正仿宋简体" w:hAnsi="Times New Roman" w:cs="Times New Roman"/>
          <w:sz w:val="30"/>
          <w:szCs w:val="30"/>
        </w:rPr>
        <w:t>吨。</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铅期货合约的交割日期为最后交易日后连续二个工作日。</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第二十一条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铅期货合约交割结算的基准价为该期货合约最后交易日的结算价。</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第二十二条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交割地点：交易所交割仓库，由交易所另行公告。用于铅期货交割的铅锭应当存放在室内库房。</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第二十三条</w:t>
      </w:r>
      <w:r>
        <w:rPr>
          <w:rFonts w:ascii="Times New Roman" w:eastAsia="方正仿宋简体" w:hAnsi="Times New Roman" w:cs="Times New Roman"/>
          <w:sz w:val="30"/>
          <w:szCs w:val="30"/>
        </w:rPr>
        <w:t xml:space="preserve"> </w:t>
      </w:r>
      <w:r>
        <w:rPr>
          <w:rFonts w:ascii="Times New Roman" w:eastAsia="方正仿宋简体" w:hAnsi="Times New Roman" w:cs="Times New Roman"/>
          <w:color w:val="000000"/>
          <w:kern w:val="0"/>
          <w:sz w:val="30"/>
          <w:szCs w:val="30"/>
        </w:rPr>
        <w:t>实物交割完成后，若买方对交割商品的质量、数量有异议的，应当在实物交割月份的下一月份的</w:t>
      </w:r>
      <w:r>
        <w:rPr>
          <w:rFonts w:ascii="Times New Roman" w:eastAsia="方正仿宋简体" w:hAnsi="Times New Roman" w:cs="Times New Roman"/>
          <w:color w:val="000000"/>
          <w:kern w:val="0"/>
          <w:sz w:val="30"/>
          <w:szCs w:val="30"/>
        </w:rPr>
        <w:t>15</w:t>
      </w:r>
      <w:r>
        <w:rPr>
          <w:rFonts w:ascii="Times New Roman" w:eastAsia="方正仿宋简体" w:hAnsi="Times New Roman" w:cs="Times New Roman"/>
          <w:color w:val="000000"/>
          <w:kern w:val="0"/>
          <w:sz w:val="30"/>
          <w:szCs w:val="30"/>
        </w:rPr>
        <w:t>日之前（含当日，遇法定假日时顺延至假日后的第一个</w:t>
      </w:r>
      <w:r>
        <w:rPr>
          <w:rFonts w:ascii="Times New Roman" w:eastAsia="方正仿宋简体" w:hAnsi="Times New Roman" w:cs="Times New Roman"/>
          <w:color w:val="000000"/>
          <w:kern w:val="0"/>
          <w:sz w:val="30"/>
          <w:szCs w:val="30"/>
        </w:rPr>
        <w:t>工作日），向交易所提出书面申请，并应当同时提供交易所指定检验机构出具的质量鉴定结论。逾期未提出申请的，视为买方对所交割商品无异议，交易所不再受理交割商品有异议的申请。</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第二十四条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期转现使用标准仓单并通过交易所结算发生铅交割实物质量纠纷的，买方应当在货款和标准仓单交换日后的</w:t>
      </w:r>
      <w:r>
        <w:rPr>
          <w:rFonts w:ascii="Times New Roman" w:eastAsia="方正仿宋简体" w:hAnsi="Times New Roman" w:cs="Times New Roman"/>
          <w:sz w:val="30"/>
          <w:szCs w:val="30"/>
        </w:rPr>
        <w:t>25</w:t>
      </w:r>
      <w:r>
        <w:rPr>
          <w:rFonts w:ascii="Times New Roman" w:eastAsia="方正仿宋简体" w:hAnsi="Times New Roman" w:cs="Times New Roman"/>
          <w:sz w:val="30"/>
          <w:szCs w:val="30"/>
        </w:rPr>
        <w:t>天内提出质量异议申请，并应当同时提供交易所指定检验机构出具的质量鉴定结论。</w:t>
      </w:r>
    </w:p>
    <w:p w:rsidR="00CF2146" w:rsidRDefault="003006EC">
      <w:pPr>
        <w:spacing w:line="56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第四章</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风险管理</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第二十五条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铅期货合约的最低交易保证金为合约价值的</w:t>
      </w:r>
      <w:r>
        <w:rPr>
          <w:rFonts w:ascii="Times New Roman" w:eastAsia="方正仿宋简体" w:hAnsi="Times New Roman" w:cs="Times New Roman"/>
          <w:sz w:val="30"/>
          <w:szCs w:val="30"/>
        </w:rPr>
        <w:t>5%</w:t>
      </w:r>
      <w:r>
        <w:rPr>
          <w:rFonts w:ascii="Times New Roman" w:eastAsia="方正仿宋简体" w:hAnsi="Times New Roman" w:cs="Times New Roman"/>
          <w:sz w:val="30"/>
          <w:szCs w:val="30"/>
        </w:rPr>
        <w:t>。</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第二十六条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铅期货合约上市运行不同阶段的交易保证金收取标准为：</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5"/>
        <w:gridCol w:w="3734"/>
      </w:tblGrid>
      <w:tr w:rsidR="00CF2146">
        <w:trPr>
          <w:cantSplit/>
          <w:trHeight w:hRule="exact" w:val="675"/>
          <w:jc w:val="center"/>
        </w:trPr>
        <w:tc>
          <w:tcPr>
            <w:tcW w:w="4495" w:type="dxa"/>
            <w:vAlign w:val="center"/>
          </w:tcPr>
          <w:p w:rsidR="00CF2146" w:rsidRDefault="003006EC">
            <w:pPr>
              <w:jc w:val="center"/>
              <w:rPr>
                <w:rFonts w:ascii="Times New Roman" w:eastAsia="方正仿宋简体" w:hAnsi="Times New Roman" w:cs="Times New Roman"/>
                <w:b/>
                <w:bCs/>
                <w:color w:val="000000"/>
                <w:sz w:val="24"/>
                <w:szCs w:val="20"/>
              </w:rPr>
            </w:pPr>
            <w:r>
              <w:rPr>
                <w:rFonts w:ascii="Times New Roman" w:eastAsia="方正仿宋简体" w:hAnsi="Times New Roman" w:cs="Times New Roman"/>
                <w:b/>
                <w:bCs/>
                <w:color w:val="000000"/>
                <w:sz w:val="24"/>
                <w:szCs w:val="20"/>
              </w:rPr>
              <w:t>交易时间段</w:t>
            </w:r>
          </w:p>
        </w:tc>
        <w:tc>
          <w:tcPr>
            <w:tcW w:w="3734" w:type="dxa"/>
            <w:vAlign w:val="center"/>
          </w:tcPr>
          <w:p w:rsidR="00CF2146" w:rsidRDefault="003006EC">
            <w:pPr>
              <w:jc w:val="center"/>
              <w:rPr>
                <w:rFonts w:ascii="Times New Roman" w:eastAsia="方正仿宋简体" w:hAnsi="Times New Roman" w:cs="Times New Roman"/>
                <w:b/>
                <w:bCs/>
                <w:color w:val="000000"/>
                <w:sz w:val="24"/>
                <w:szCs w:val="20"/>
              </w:rPr>
            </w:pPr>
            <w:r>
              <w:rPr>
                <w:rFonts w:ascii="Times New Roman" w:eastAsia="方正仿宋简体" w:hAnsi="Times New Roman" w:cs="Times New Roman"/>
                <w:b/>
                <w:bCs/>
                <w:color w:val="000000"/>
                <w:sz w:val="24"/>
                <w:szCs w:val="20"/>
              </w:rPr>
              <w:t>铅交易保证金比例</w:t>
            </w:r>
          </w:p>
        </w:tc>
      </w:tr>
      <w:tr w:rsidR="00CF2146">
        <w:trPr>
          <w:cantSplit/>
          <w:trHeight w:hRule="exact" w:val="549"/>
          <w:jc w:val="center"/>
        </w:trPr>
        <w:tc>
          <w:tcPr>
            <w:tcW w:w="4495" w:type="dxa"/>
            <w:tcBorders>
              <w:bottom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合约挂牌之日起</w:t>
            </w:r>
          </w:p>
        </w:tc>
        <w:tc>
          <w:tcPr>
            <w:tcW w:w="3734" w:type="dxa"/>
            <w:tcBorders>
              <w:bottom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5%</w:t>
            </w:r>
          </w:p>
        </w:tc>
      </w:tr>
      <w:tr w:rsidR="00CF2146">
        <w:trPr>
          <w:cantSplit/>
          <w:trHeight w:hRule="exact" w:val="578"/>
          <w:jc w:val="center"/>
        </w:trPr>
        <w:tc>
          <w:tcPr>
            <w:tcW w:w="4495" w:type="dxa"/>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交割月前第一月的第一个交易日起</w:t>
            </w:r>
          </w:p>
        </w:tc>
        <w:tc>
          <w:tcPr>
            <w:tcW w:w="3734" w:type="dxa"/>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10%</w:t>
            </w:r>
          </w:p>
        </w:tc>
      </w:tr>
      <w:tr w:rsidR="00CF2146">
        <w:trPr>
          <w:cantSplit/>
          <w:trHeight w:hRule="exact" w:val="556"/>
          <w:jc w:val="center"/>
        </w:trPr>
        <w:tc>
          <w:tcPr>
            <w:tcW w:w="4495" w:type="dxa"/>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交割月份第一个交易日起</w:t>
            </w:r>
          </w:p>
        </w:tc>
        <w:tc>
          <w:tcPr>
            <w:tcW w:w="3734" w:type="dxa"/>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15%</w:t>
            </w:r>
          </w:p>
        </w:tc>
      </w:tr>
      <w:tr w:rsidR="00CF2146">
        <w:trPr>
          <w:cantSplit/>
          <w:trHeight w:hRule="exact" w:val="564"/>
          <w:jc w:val="center"/>
        </w:trPr>
        <w:tc>
          <w:tcPr>
            <w:tcW w:w="4495" w:type="dxa"/>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最后交易日前二个交易日起</w:t>
            </w:r>
          </w:p>
        </w:tc>
        <w:tc>
          <w:tcPr>
            <w:tcW w:w="3734" w:type="dxa"/>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20%</w:t>
            </w:r>
          </w:p>
        </w:tc>
      </w:tr>
    </w:tbl>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第二十七条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铅期货合约涨跌停板幅度为上一交易日结算价</w:t>
      </w:r>
      <w:r>
        <w:rPr>
          <w:rFonts w:ascii="Times New Roman" w:eastAsia="方正仿宋简体" w:hAnsi="Times New Roman" w:cs="Times New Roman"/>
          <w:sz w:val="30"/>
          <w:szCs w:val="30"/>
        </w:rPr>
        <w:t>±4%</w:t>
      </w:r>
      <w:r>
        <w:rPr>
          <w:rFonts w:ascii="Times New Roman" w:eastAsia="方正仿宋简体" w:hAnsi="Times New Roman" w:cs="Times New Roman"/>
          <w:sz w:val="30"/>
          <w:szCs w:val="30"/>
        </w:rPr>
        <w:t>。</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第二十八条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铅期货合约在不同时期的限仓比例和限仓数额具体规定如下：</w:t>
      </w:r>
    </w:p>
    <w:p w:rsidR="00CF2146" w:rsidRDefault="003006EC">
      <w:pPr>
        <w:spacing w:line="560" w:lineRule="exact"/>
        <w:ind w:firstLineChars="200" w:firstLine="480"/>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（单位：手）</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91"/>
        <w:gridCol w:w="1626"/>
        <w:gridCol w:w="1076"/>
        <w:gridCol w:w="1101"/>
        <w:gridCol w:w="874"/>
        <w:gridCol w:w="963"/>
        <w:gridCol w:w="1012"/>
        <w:gridCol w:w="717"/>
      </w:tblGrid>
      <w:tr w:rsidR="00CF2146">
        <w:trPr>
          <w:cantSplit/>
          <w:trHeight w:val="1038"/>
          <w:jc w:val="center"/>
        </w:trPr>
        <w:tc>
          <w:tcPr>
            <w:tcW w:w="592" w:type="pct"/>
            <w:vMerge w:val="restart"/>
            <w:vAlign w:val="center"/>
          </w:tcPr>
          <w:p w:rsidR="00CF2146" w:rsidRDefault="00CF2146">
            <w:pPr>
              <w:jc w:val="center"/>
              <w:rPr>
                <w:rFonts w:ascii="Times New Roman" w:eastAsia="方正仿宋简体" w:hAnsi="Times New Roman" w:cs="Times New Roman"/>
                <w:bCs/>
                <w:color w:val="000000"/>
                <w:sz w:val="24"/>
                <w:szCs w:val="20"/>
              </w:rPr>
            </w:pPr>
          </w:p>
        </w:tc>
        <w:tc>
          <w:tcPr>
            <w:tcW w:w="2273" w:type="pct"/>
            <w:gridSpan w:val="3"/>
            <w:tcBorders>
              <w:left w:val="single" w:sz="4" w:space="0" w:color="auto"/>
              <w:righ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合约挂牌至交割月前第二月</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的最后一个交易日</w:t>
            </w:r>
          </w:p>
        </w:tc>
        <w:tc>
          <w:tcPr>
            <w:tcW w:w="1099" w:type="pct"/>
            <w:gridSpan w:val="2"/>
            <w:tcBorders>
              <w:lef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交割月前</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第一月</w:t>
            </w:r>
          </w:p>
        </w:tc>
        <w:tc>
          <w:tcPr>
            <w:tcW w:w="1034" w:type="pct"/>
            <w:gridSpan w:val="2"/>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交割月份</w:t>
            </w:r>
          </w:p>
        </w:tc>
      </w:tr>
      <w:tr w:rsidR="00CF2146">
        <w:trPr>
          <w:cantSplit/>
          <w:trHeight w:val="250"/>
          <w:jc w:val="center"/>
        </w:trPr>
        <w:tc>
          <w:tcPr>
            <w:tcW w:w="592" w:type="pct"/>
            <w:vMerge/>
            <w:vAlign w:val="center"/>
          </w:tcPr>
          <w:p w:rsidR="00CF2146" w:rsidRDefault="00CF2146">
            <w:pPr>
              <w:jc w:val="center"/>
              <w:rPr>
                <w:rFonts w:ascii="Times New Roman" w:eastAsia="方正仿宋简体" w:hAnsi="Times New Roman" w:cs="Times New Roman"/>
                <w:bCs/>
                <w:color w:val="000000"/>
                <w:sz w:val="24"/>
                <w:szCs w:val="20"/>
              </w:rPr>
            </w:pPr>
          </w:p>
        </w:tc>
        <w:tc>
          <w:tcPr>
            <w:tcW w:w="972" w:type="pct"/>
            <w:vMerge w:val="restart"/>
            <w:tcBorders>
              <w:left w:val="single" w:sz="4" w:space="0" w:color="auto"/>
              <w:righ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某一期</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货合约</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持仓量</w:t>
            </w:r>
          </w:p>
        </w:tc>
        <w:tc>
          <w:tcPr>
            <w:tcW w:w="1301" w:type="pct"/>
            <w:gridSpan w:val="2"/>
            <w:tcBorders>
              <w:left w:val="single" w:sz="4" w:space="0" w:color="auto"/>
              <w:righ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限仓比例（</w:t>
            </w:r>
            <w:r>
              <w:rPr>
                <w:rFonts w:ascii="Times New Roman" w:eastAsia="方正仿宋简体" w:hAnsi="Times New Roman" w:cs="Times New Roman" w:hint="eastAsia"/>
                <w:b/>
                <w:color w:val="000000"/>
                <w:sz w:val="24"/>
                <w:szCs w:val="20"/>
              </w:rPr>
              <w:t>%</w:t>
            </w:r>
            <w:r>
              <w:rPr>
                <w:rFonts w:ascii="Times New Roman" w:eastAsia="方正仿宋简体" w:hAnsi="Times New Roman" w:cs="Times New Roman"/>
                <w:b/>
                <w:color w:val="000000"/>
                <w:sz w:val="24"/>
                <w:szCs w:val="20"/>
              </w:rPr>
              <w:t>）</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和限仓数额</w:t>
            </w:r>
            <w:r>
              <w:rPr>
                <w:rFonts w:ascii="Times New Roman" w:eastAsia="方正仿宋简体" w:hAnsi="Times New Roman" w:cs="Times New Roman" w:hint="eastAsia"/>
                <w:b/>
                <w:color w:val="000000"/>
                <w:sz w:val="24"/>
                <w:szCs w:val="20"/>
              </w:rPr>
              <w:t>（手）</w:t>
            </w:r>
          </w:p>
        </w:tc>
        <w:tc>
          <w:tcPr>
            <w:tcW w:w="1099" w:type="pct"/>
            <w:gridSpan w:val="2"/>
            <w:tcBorders>
              <w:lef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限仓数额</w:t>
            </w:r>
            <w:r>
              <w:rPr>
                <w:rFonts w:ascii="Times New Roman" w:eastAsia="方正仿宋简体" w:hAnsi="Times New Roman" w:cs="Times New Roman" w:hint="eastAsia"/>
                <w:b/>
                <w:color w:val="000000"/>
                <w:sz w:val="24"/>
                <w:szCs w:val="20"/>
              </w:rPr>
              <w:t>（手）</w:t>
            </w:r>
          </w:p>
        </w:tc>
        <w:tc>
          <w:tcPr>
            <w:tcW w:w="1034" w:type="pct"/>
            <w:gridSpan w:val="2"/>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限仓数额</w:t>
            </w:r>
            <w:r>
              <w:rPr>
                <w:rFonts w:ascii="Times New Roman" w:eastAsia="方正仿宋简体" w:hAnsi="Times New Roman" w:cs="Times New Roman" w:hint="eastAsia"/>
                <w:b/>
                <w:color w:val="000000"/>
                <w:sz w:val="24"/>
                <w:szCs w:val="20"/>
              </w:rPr>
              <w:t>（手）</w:t>
            </w:r>
          </w:p>
        </w:tc>
      </w:tr>
      <w:tr w:rsidR="00CF2146">
        <w:trPr>
          <w:cantSplit/>
          <w:trHeight w:val="1534"/>
          <w:jc w:val="center"/>
        </w:trPr>
        <w:tc>
          <w:tcPr>
            <w:tcW w:w="592" w:type="pct"/>
            <w:vMerge/>
            <w:vAlign w:val="center"/>
          </w:tcPr>
          <w:p w:rsidR="00CF2146" w:rsidRDefault="00CF2146">
            <w:pPr>
              <w:jc w:val="center"/>
              <w:rPr>
                <w:rFonts w:ascii="Times New Roman" w:eastAsia="方正仿宋简体" w:hAnsi="Times New Roman" w:cs="Times New Roman"/>
                <w:bCs/>
                <w:color w:val="000000"/>
                <w:sz w:val="24"/>
                <w:szCs w:val="20"/>
              </w:rPr>
            </w:pPr>
          </w:p>
        </w:tc>
        <w:tc>
          <w:tcPr>
            <w:tcW w:w="972" w:type="pct"/>
            <w:vMerge/>
            <w:tcBorders>
              <w:left w:val="single" w:sz="4" w:space="0" w:color="auto"/>
              <w:right w:val="single" w:sz="4" w:space="0" w:color="auto"/>
            </w:tcBorders>
            <w:vAlign w:val="center"/>
          </w:tcPr>
          <w:p w:rsidR="00CF2146" w:rsidRDefault="00CF2146">
            <w:pPr>
              <w:jc w:val="center"/>
              <w:rPr>
                <w:rFonts w:ascii="Times New Roman" w:eastAsia="方正仿宋简体" w:hAnsi="Times New Roman" w:cs="Times New Roman"/>
                <w:b/>
                <w:color w:val="000000"/>
                <w:sz w:val="24"/>
                <w:szCs w:val="20"/>
              </w:rPr>
            </w:pPr>
          </w:p>
        </w:tc>
        <w:tc>
          <w:tcPr>
            <w:tcW w:w="643" w:type="pct"/>
            <w:tcBorders>
              <w:lef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非期货</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公司</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会员</w:t>
            </w:r>
          </w:p>
        </w:tc>
        <w:tc>
          <w:tcPr>
            <w:tcW w:w="657" w:type="pct"/>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客户</w:t>
            </w:r>
          </w:p>
        </w:tc>
        <w:tc>
          <w:tcPr>
            <w:tcW w:w="523" w:type="pct"/>
            <w:tcBorders>
              <w:lef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非期货公司</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会员</w:t>
            </w:r>
          </w:p>
        </w:tc>
        <w:tc>
          <w:tcPr>
            <w:tcW w:w="576" w:type="pct"/>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客户</w:t>
            </w:r>
          </w:p>
        </w:tc>
        <w:tc>
          <w:tcPr>
            <w:tcW w:w="605" w:type="pct"/>
            <w:tcBorders>
              <w:left w:val="single" w:sz="4" w:space="0" w:color="auto"/>
            </w:tcBorders>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非期货</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公司</w:t>
            </w:r>
          </w:p>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会员</w:t>
            </w:r>
          </w:p>
        </w:tc>
        <w:tc>
          <w:tcPr>
            <w:tcW w:w="429" w:type="pct"/>
            <w:vAlign w:val="center"/>
          </w:tcPr>
          <w:p w:rsidR="00CF2146" w:rsidRDefault="003006EC">
            <w:pPr>
              <w:jc w:val="center"/>
              <w:rPr>
                <w:rFonts w:ascii="Times New Roman" w:eastAsia="方正仿宋简体" w:hAnsi="Times New Roman" w:cs="Times New Roman"/>
                <w:b/>
                <w:color w:val="000000"/>
                <w:sz w:val="24"/>
                <w:szCs w:val="20"/>
              </w:rPr>
            </w:pPr>
            <w:r>
              <w:rPr>
                <w:rFonts w:ascii="Times New Roman" w:eastAsia="方正仿宋简体" w:hAnsi="Times New Roman" w:cs="Times New Roman"/>
                <w:b/>
                <w:color w:val="000000"/>
                <w:sz w:val="24"/>
                <w:szCs w:val="20"/>
              </w:rPr>
              <w:t>客户</w:t>
            </w:r>
          </w:p>
        </w:tc>
      </w:tr>
      <w:tr w:rsidR="00CF2146">
        <w:trPr>
          <w:cantSplit/>
          <w:trHeight w:val="413"/>
          <w:jc w:val="center"/>
        </w:trPr>
        <w:tc>
          <w:tcPr>
            <w:tcW w:w="592" w:type="pct"/>
            <w:vMerge w:val="restart"/>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
                <w:color w:val="000000"/>
                <w:sz w:val="24"/>
                <w:szCs w:val="20"/>
              </w:rPr>
              <w:t>铅</w:t>
            </w:r>
          </w:p>
        </w:tc>
        <w:tc>
          <w:tcPr>
            <w:tcW w:w="972" w:type="pct"/>
            <w:tcBorders>
              <w:left w:val="single" w:sz="4" w:space="0" w:color="auto"/>
              <w:right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hint="eastAsia"/>
                <w:bCs/>
                <w:color w:val="000000"/>
                <w:sz w:val="24"/>
                <w:szCs w:val="20"/>
              </w:rPr>
              <w:t>≥</w:t>
            </w:r>
            <w:r>
              <w:rPr>
                <w:rFonts w:ascii="Times New Roman" w:eastAsia="方正仿宋简体" w:hAnsi="Times New Roman" w:cs="Times New Roman"/>
                <w:bCs/>
                <w:color w:val="000000"/>
                <w:sz w:val="24"/>
                <w:szCs w:val="20"/>
              </w:rPr>
              <w:t>5</w:t>
            </w:r>
            <w:r>
              <w:rPr>
                <w:rFonts w:ascii="Times New Roman" w:eastAsia="方正仿宋简体" w:hAnsi="Times New Roman" w:cs="Times New Roman"/>
                <w:bCs/>
                <w:color w:val="000000"/>
                <w:sz w:val="24"/>
                <w:szCs w:val="20"/>
              </w:rPr>
              <w:t>万手</w:t>
            </w:r>
          </w:p>
        </w:tc>
        <w:tc>
          <w:tcPr>
            <w:tcW w:w="643" w:type="pct"/>
            <w:tcBorders>
              <w:left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10</w:t>
            </w:r>
          </w:p>
        </w:tc>
        <w:tc>
          <w:tcPr>
            <w:tcW w:w="657" w:type="pct"/>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10</w:t>
            </w:r>
          </w:p>
        </w:tc>
        <w:tc>
          <w:tcPr>
            <w:tcW w:w="523" w:type="pct"/>
            <w:vMerge w:val="restart"/>
            <w:tcBorders>
              <w:left w:val="single" w:sz="4" w:space="0" w:color="auto"/>
            </w:tcBorders>
            <w:vAlign w:val="center"/>
          </w:tcPr>
          <w:p w:rsidR="00CF2146" w:rsidRDefault="003006EC">
            <w:pPr>
              <w:ind w:firstLineChars="50" w:firstLine="120"/>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1800</w:t>
            </w:r>
          </w:p>
        </w:tc>
        <w:tc>
          <w:tcPr>
            <w:tcW w:w="576" w:type="pct"/>
            <w:vMerge w:val="restart"/>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1800</w:t>
            </w:r>
          </w:p>
        </w:tc>
        <w:tc>
          <w:tcPr>
            <w:tcW w:w="605" w:type="pct"/>
            <w:vMerge w:val="restart"/>
            <w:tcBorders>
              <w:left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600</w:t>
            </w:r>
          </w:p>
        </w:tc>
        <w:tc>
          <w:tcPr>
            <w:tcW w:w="429" w:type="pct"/>
            <w:vMerge w:val="restart"/>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600</w:t>
            </w:r>
          </w:p>
        </w:tc>
      </w:tr>
      <w:tr w:rsidR="00CF2146">
        <w:trPr>
          <w:cantSplit/>
          <w:trHeight w:val="482"/>
          <w:jc w:val="center"/>
        </w:trPr>
        <w:tc>
          <w:tcPr>
            <w:tcW w:w="592" w:type="pct"/>
            <w:vMerge/>
            <w:vAlign w:val="center"/>
          </w:tcPr>
          <w:p w:rsidR="00CF2146" w:rsidRDefault="00CF2146">
            <w:pPr>
              <w:jc w:val="center"/>
              <w:rPr>
                <w:rFonts w:ascii="Times New Roman" w:eastAsia="方正仿宋简体" w:hAnsi="Times New Roman" w:cs="Times New Roman"/>
                <w:bCs/>
                <w:dstrike/>
                <w:color w:val="000000"/>
                <w:sz w:val="24"/>
                <w:szCs w:val="20"/>
                <w:shd w:val="pct10" w:color="auto" w:fill="FFFFFF"/>
              </w:rPr>
            </w:pPr>
          </w:p>
        </w:tc>
        <w:tc>
          <w:tcPr>
            <w:tcW w:w="972" w:type="pct"/>
            <w:tcBorders>
              <w:left w:val="single" w:sz="4" w:space="0" w:color="auto"/>
              <w:right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w:t>
            </w:r>
            <w:r>
              <w:rPr>
                <w:rFonts w:ascii="Times New Roman" w:eastAsia="方正仿宋简体" w:hAnsi="Times New Roman" w:cs="Times New Roman"/>
                <w:bCs/>
                <w:color w:val="000000"/>
                <w:sz w:val="24"/>
                <w:szCs w:val="20"/>
              </w:rPr>
              <w:t>5</w:t>
            </w:r>
            <w:r>
              <w:rPr>
                <w:rFonts w:ascii="Times New Roman" w:eastAsia="方正仿宋简体" w:hAnsi="Times New Roman" w:cs="Times New Roman"/>
                <w:bCs/>
                <w:color w:val="000000"/>
                <w:sz w:val="24"/>
                <w:szCs w:val="20"/>
              </w:rPr>
              <w:t>万手</w:t>
            </w:r>
          </w:p>
        </w:tc>
        <w:tc>
          <w:tcPr>
            <w:tcW w:w="643" w:type="pct"/>
            <w:tcBorders>
              <w:left w:val="single" w:sz="4" w:space="0" w:color="auto"/>
            </w:tcBorders>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5000</w:t>
            </w:r>
          </w:p>
        </w:tc>
        <w:tc>
          <w:tcPr>
            <w:tcW w:w="657" w:type="pct"/>
            <w:vAlign w:val="center"/>
          </w:tcPr>
          <w:p w:rsidR="00CF2146" w:rsidRDefault="003006EC">
            <w:pPr>
              <w:jc w:val="center"/>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5000</w:t>
            </w:r>
          </w:p>
        </w:tc>
        <w:tc>
          <w:tcPr>
            <w:tcW w:w="523" w:type="pct"/>
            <w:vMerge/>
            <w:tcBorders>
              <w:left w:val="single" w:sz="4" w:space="0" w:color="auto"/>
            </w:tcBorders>
            <w:vAlign w:val="center"/>
          </w:tcPr>
          <w:p w:rsidR="00CF2146" w:rsidRDefault="00CF2146">
            <w:pPr>
              <w:jc w:val="center"/>
              <w:rPr>
                <w:rFonts w:ascii="Times New Roman" w:eastAsia="方正仿宋简体" w:hAnsi="Times New Roman" w:cs="Times New Roman"/>
                <w:bCs/>
                <w:dstrike/>
                <w:color w:val="000000"/>
                <w:sz w:val="24"/>
                <w:szCs w:val="20"/>
                <w:shd w:val="pct10" w:color="auto" w:fill="FFFFFF"/>
              </w:rPr>
            </w:pPr>
          </w:p>
        </w:tc>
        <w:tc>
          <w:tcPr>
            <w:tcW w:w="576" w:type="pct"/>
            <w:vMerge/>
            <w:vAlign w:val="center"/>
          </w:tcPr>
          <w:p w:rsidR="00CF2146" w:rsidRDefault="00CF2146">
            <w:pPr>
              <w:jc w:val="center"/>
              <w:rPr>
                <w:rFonts w:ascii="Times New Roman" w:eastAsia="方正仿宋简体" w:hAnsi="Times New Roman" w:cs="Times New Roman"/>
                <w:bCs/>
                <w:dstrike/>
                <w:color w:val="000000"/>
                <w:sz w:val="24"/>
                <w:szCs w:val="20"/>
                <w:shd w:val="pct10" w:color="auto" w:fill="FFFFFF"/>
              </w:rPr>
            </w:pPr>
          </w:p>
        </w:tc>
        <w:tc>
          <w:tcPr>
            <w:tcW w:w="605" w:type="pct"/>
            <w:vMerge/>
            <w:tcBorders>
              <w:left w:val="single" w:sz="4" w:space="0" w:color="auto"/>
            </w:tcBorders>
            <w:vAlign w:val="center"/>
          </w:tcPr>
          <w:p w:rsidR="00CF2146" w:rsidRDefault="00CF2146">
            <w:pPr>
              <w:jc w:val="center"/>
              <w:rPr>
                <w:rFonts w:ascii="Times New Roman" w:eastAsia="方正仿宋简体" w:hAnsi="Times New Roman" w:cs="Times New Roman"/>
                <w:bCs/>
                <w:dstrike/>
                <w:color w:val="000000"/>
                <w:sz w:val="24"/>
                <w:szCs w:val="20"/>
                <w:shd w:val="pct10" w:color="auto" w:fill="FFFFFF"/>
              </w:rPr>
            </w:pPr>
          </w:p>
        </w:tc>
        <w:tc>
          <w:tcPr>
            <w:tcW w:w="429" w:type="pct"/>
            <w:vMerge/>
            <w:vAlign w:val="center"/>
          </w:tcPr>
          <w:p w:rsidR="00CF2146" w:rsidRDefault="00CF2146">
            <w:pPr>
              <w:jc w:val="center"/>
              <w:rPr>
                <w:rFonts w:ascii="Times New Roman" w:eastAsia="方正仿宋简体" w:hAnsi="Times New Roman" w:cs="Times New Roman"/>
                <w:bCs/>
                <w:dstrike/>
                <w:color w:val="000000"/>
                <w:sz w:val="24"/>
                <w:szCs w:val="20"/>
                <w:shd w:val="pct10" w:color="auto" w:fill="FFFFFF"/>
              </w:rPr>
            </w:pPr>
          </w:p>
        </w:tc>
      </w:tr>
    </w:tbl>
    <w:p w:rsidR="00CF2146" w:rsidRDefault="003006EC">
      <w:pPr>
        <w:spacing w:line="560" w:lineRule="exact"/>
        <w:ind w:firstLineChars="200" w:firstLine="480"/>
        <w:rPr>
          <w:rFonts w:ascii="Times New Roman" w:eastAsia="方正仿宋简体" w:hAnsi="Times New Roman" w:cs="Times New Roman"/>
          <w:bCs/>
          <w:color w:val="000000"/>
          <w:sz w:val="24"/>
          <w:szCs w:val="20"/>
        </w:rPr>
      </w:pPr>
      <w:r>
        <w:rPr>
          <w:rFonts w:ascii="Times New Roman" w:eastAsia="方正仿宋简体" w:hAnsi="Times New Roman" w:cs="Times New Roman"/>
          <w:bCs/>
          <w:color w:val="000000"/>
          <w:sz w:val="24"/>
          <w:szCs w:val="20"/>
        </w:rPr>
        <w:t>注：表中持仓量、限仓数额为单向计算。</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第二十九条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交</w:t>
      </w:r>
      <w:r>
        <w:rPr>
          <w:rFonts w:ascii="Times New Roman" w:eastAsia="方正仿宋简体" w:hAnsi="Times New Roman" w:cs="Times New Roman"/>
          <w:color w:val="000000"/>
          <w:sz w:val="30"/>
          <w:szCs w:val="30"/>
        </w:rPr>
        <w:t>割月前第一月的最后一个交易日收盘前，</w:t>
      </w:r>
      <w:r>
        <w:rPr>
          <w:rFonts w:ascii="Times New Roman" w:eastAsia="方正仿宋简体" w:hAnsi="Times New Roman" w:cs="Times New Roman" w:hint="eastAsia"/>
          <w:color w:val="000000"/>
          <w:sz w:val="30"/>
          <w:szCs w:val="30"/>
        </w:rPr>
        <w:t>交易者（即客户、非期货公司会员，下同）</w:t>
      </w:r>
      <w:r>
        <w:rPr>
          <w:rFonts w:ascii="Times New Roman" w:eastAsia="方正仿宋简体" w:hAnsi="Times New Roman" w:cs="Times New Roman"/>
          <w:color w:val="000000"/>
          <w:sz w:val="30"/>
          <w:szCs w:val="30"/>
        </w:rPr>
        <w:t>在每个</w:t>
      </w:r>
      <w:r>
        <w:rPr>
          <w:rFonts w:ascii="Times New Roman" w:eastAsia="方正仿宋简体" w:hAnsi="Times New Roman" w:cs="Times New Roman" w:hint="eastAsia"/>
          <w:color w:val="000000"/>
          <w:sz w:val="30"/>
          <w:szCs w:val="30"/>
        </w:rPr>
        <w:t>交易编码上的</w:t>
      </w:r>
      <w:r>
        <w:rPr>
          <w:rFonts w:ascii="Times New Roman" w:eastAsia="方正仿宋简体" w:hAnsi="Times New Roman" w:cs="Times New Roman"/>
          <w:color w:val="000000"/>
          <w:sz w:val="30"/>
          <w:szCs w:val="30"/>
        </w:rPr>
        <w:t>铅期货合约的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持仓应当调整为</w:t>
      </w:r>
      <w:r>
        <w:rPr>
          <w:rFonts w:ascii="Times New Roman" w:eastAsia="方正仿宋简体" w:hAnsi="Times New Roman" w:cs="Times New Roman"/>
          <w:color w:val="000000"/>
          <w:sz w:val="30"/>
          <w:szCs w:val="30"/>
        </w:rPr>
        <w:t>5</w:t>
      </w:r>
      <w:r>
        <w:rPr>
          <w:rFonts w:ascii="Times New Roman" w:eastAsia="方正仿宋简体" w:hAnsi="Times New Roman" w:cs="Times New Roman"/>
          <w:color w:val="000000"/>
          <w:sz w:val="30"/>
          <w:szCs w:val="30"/>
        </w:rPr>
        <w:t>手的整倍数（遇市场特殊情况无法按期调整的，可以顺延一天）</w:t>
      </w:r>
      <w:r>
        <w:rPr>
          <w:rFonts w:ascii="Times New Roman" w:eastAsia="方正仿宋简体" w:hAnsi="Times New Roman" w:cs="Times New Roman" w:hint="eastAsia"/>
          <w:color w:val="000000"/>
          <w:sz w:val="30"/>
          <w:szCs w:val="30"/>
        </w:rPr>
        <w:t>；</w:t>
      </w:r>
      <w:r>
        <w:rPr>
          <w:rFonts w:ascii="Times New Roman" w:eastAsia="方正仿宋简体" w:hAnsi="Times New Roman" w:cs="Times New Roman"/>
          <w:color w:val="000000"/>
          <w:sz w:val="30"/>
          <w:szCs w:val="30"/>
        </w:rPr>
        <w:t>进入交割月后，铅期货合约</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持仓应当是</w:t>
      </w:r>
      <w:r>
        <w:rPr>
          <w:rFonts w:ascii="Times New Roman" w:eastAsia="方正仿宋简体" w:hAnsi="Times New Roman" w:cs="Times New Roman"/>
          <w:color w:val="000000"/>
          <w:sz w:val="30"/>
          <w:szCs w:val="30"/>
        </w:rPr>
        <w:t>5</w:t>
      </w:r>
      <w:r>
        <w:rPr>
          <w:rFonts w:ascii="Times New Roman" w:eastAsia="方正仿宋简体" w:hAnsi="Times New Roman" w:cs="Times New Roman"/>
          <w:color w:val="000000"/>
          <w:sz w:val="30"/>
          <w:szCs w:val="30"/>
        </w:rPr>
        <w:t>手的整倍数，新开仓、平仓也应当是</w:t>
      </w:r>
      <w:r>
        <w:rPr>
          <w:rFonts w:ascii="Times New Roman" w:eastAsia="方正仿宋简体" w:hAnsi="Times New Roman" w:cs="Times New Roman"/>
          <w:color w:val="000000"/>
          <w:sz w:val="30"/>
          <w:szCs w:val="30"/>
        </w:rPr>
        <w:t>5</w:t>
      </w:r>
      <w:r>
        <w:rPr>
          <w:rFonts w:ascii="Times New Roman" w:eastAsia="方正仿宋简体" w:hAnsi="Times New Roman" w:cs="Times New Roman"/>
          <w:color w:val="000000"/>
          <w:sz w:val="30"/>
          <w:szCs w:val="30"/>
        </w:rPr>
        <w:t>手的整倍数。</w:t>
      </w:r>
    </w:p>
    <w:p w:rsidR="00CF2146" w:rsidRDefault="003006EC">
      <w:pPr>
        <w:spacing w:line="560" w:lineRule="exact"/>
        <w:ind w:firstLineChars="200" w:firstLine="602"/>
        <w:rPr>
          <w:rFonts w:ascii="Times New Roman" w:eastAsia="方正仿宋简体" w:hAnsi="Times New Roman" w:cs="Times New Roman"/>
          <w:color w:val="000000"/>
          <w:sz w:val="30"/>
          <w:szCs w:val="30"/>
        </w:rPr>
      </w:pPr>
      <w:r>
        <w:rPr>
          <w:rFonts w:ascii="Times New Roman" w:eastAsia="方正仿宋简体" w:hAnsi="Times New Roman" w:cs="Times New Roman"/>
          <w:b/>
          <w:sz w:val="30"/>
          <w:szCs w:val="30"/>
        </w:rPr>
        <w:t>第三十条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交易所对某一铅期货合约采取强制减仓的，其申报平仓数量、持仓盈利</w:t>
      </w:r>
      <w:r>
        <w:rPr>
          <w:rFonts w:ascii="Times New Roman" w:eastAsia="方正仿宋简体" w:hAnsi="Times New Roman" w:cs="Times New Roman" w:hint="eastAsia"/>
          <w:color w:val="000000"/>
          <w:sz w:val="30"/>
          <w:szCs w:val="30"/>
        </w:rPr>
        <w:t>交易者</w:t>
      </w:r>
      <w:r>
        <w:rPr>
          <w:rFonts w:ascii="Times New Roman" w:eastAsia="方正仿宋简体" w:hAnsi="Times New Roman" w:cs="Times New Roman"/>
          <w:color w:val="000000"/>
          <w:sz w:val="30"/>
          <w:szCs w:val="30"/>
        </w:rPr>
        <w:t>平仓范围以及平仓数量的分配原则及方法按照下列方法确定：</w:t>
      </w:r>
    </w:p>
    <w:p w:rsidR="00CF2146" w:rsidRDefault="003006EC">
      <w:pPr>
        <w:spacing w:line="560" w:lineRule="exact"/>
        <w:ind w:firstLineChars="200" w:firstLine="600"/>
        <w:rPr>
          <w:rFonts w:ascii="Times New Roman" w:eastAsia="方正仿宋简体" w:hAnsi="Times New Roman" w:cs="Times New Roman"/>
          <w:sz w:val="30"/>
          <w:szCs w:val="30"/>
        </w:rPr>
      </w:pPr>
      <w:r>
        <w:rPr>
          <w:rFonts w:ascii="Times New Roman" w:eastAsia="方正仿宋简体" w:hAnsi="Times New Roman" w:cs="Times New Roman"/>
          <w:color w:val="000000"/>
          <w:sz w:val="30"/>
          <w:szCs w:val="30"/>
        </w:rPr>
        <w:t>（一）申报平仓数量。在强制减仓基准日收市后，已在计算机系统中以涨跌停板价申报无法成交的，且</w:t>
      </w:r>
      <w:r>
        <w:rPr>
          <w:rFonts w:ascii="Times New Roman" w:eastAsia="方正仿宋简体" w:hAnsi="Times New Roman" w:cs="Times New Roman" w:hint="eastAsia"/>
          <w:color w:val="000000"/>
          <w:sz w:val="30"/>
          <w:szCs w:val="30"/>
        </w:rPr>
        <w:t>交易者</w:t>
      </w:r>
      <w:r>
        <w:rPr>
          <w:rFonts w:ascii="Times New Roman" w:eastAsia="方正仿宋简体" w:hAnsi="Times New Roman" w:cs="Times New Roman"/>
          <w:color w:val="000000"/>
          <w:sz w:val="30"/>
          <w:szCs w:val="30"/>
        </w:rPr>
        <w:t>该</w:t>
      </w:r>
      <w:r>
        <w:rPr>
          <w:rFonts w:ascii="Times New Roman" w:eastAsia="方正仿宋简体" w:hAnsi="Times New Roman" w:cs="Times New Roman"/>
          <w:sz w:val="30"/>
          <w:szCs w:val="30"/>
        </w:rPr>
        <w:t>铅期货合约的单位净持仓亏损大于或者等于强制减仓基准日结算价</w:t>
      </w:r>
      <w:r>
        <w:rPr>
          <w:rFonts w:ascii="Times New Roman" w:eastAsia="方正仿宋简体" w:hAnsi="Times New Roman" w:cs="Times New Roman"/>
          <w:sz w:val="30"/>
          <w:szCs w:val="30"/>
        </w:rPr>
        <w:t>6%</w:t>
      </w:r>
      <w:r>
        <w:rPr>
          <w:rFonts w:ascii="Times New Roman" w:eastAsia="方正仿宋简体" w:hAnsi="Times New Roman" w:cs="Times New Roman"/>
          <w:sz w:val="30"/>
          <w:szCs w:val="30"/>
        </w:rPr>
        <w:t>的所有申报平仓数量的总和为平仓数量。</w:t>
      </w:r>
    </w:p>
    <w:p w:rsidR="00CF2146" w:rsidRDefault="003006EC">
      <w:pPr>
        <w:autoSpaceDE w:val="0"/>
        <w:autoSpaceDN w:val="0"/>
        <w:adjustRightInd w:val="0"/>
        <w:spacing w:line="56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（二）</w:t>
      </w:r>
      <w:r>
        <w:rPr>
          <w:rFonts w:ascii="Times New Roman" w:eastAsia="方正仿宋简体" w:hAnsi="Times New Roman" w:cs="Times New Roman"/>
          <w:sz w:val="30"/>
          <w:szCs w:val="30"/>
        </w:rPr>
        <w:t>持仓盈利</w:t>
      </w:r>
      <w:r>
        <w:rPr>
          <w:rFonts w:ascii="Times New Roman" w:eastAsia="方正仿宋简体" w:hAnsi="Times New Roman" w:cs="Times New Roman" w:hint="eastAsia"/>
          <w:color w:val="000000"/>
          <w:sz w:val="30"/>
          <w:szCs w:val="30"/>
        </w:rPr>
        <w:t>交易者</w:t>
      </w:r>
      <w:r>
        <w:rPr>
          <w:rFonts w:ascii="Times New Roman" w:eastAsia="方正仿宋简体" w:hAnsi="Times New Roman" w:cs="Times New Roman"/>
          <w:color w:val="000000"/>
          <w:sz w:val="30"/>
          <w:szCs w:val="30"/>
        </w:rPr>
        <w:t>平仓范围。根据《上海期货交易所风险控制管理办法》所述方法计算的</w:t>
      </w:r>
      <w:r>
        <w:rPr>
          <w:rFonts w:ascii="Times New Roman" w:eastAsia="方正仿宋简体" w:hAnsi="Times New Roman" w:cs="Times New Roman" w:hint="eastAsia"/>
          <w:color w:val="000000"/>
          <w:sz w:val="30"/>
          <w:szCs w:val="30"/>
        </w:rPr>
        <w:t>交易者</w:t>
      </w:r>
      <w:r>
        <w:rPr>
          <w:rFonts w:ascii="Times New Roman" w:eastAsia="方正仿宋简体" w:hAnsi="Times New Roman" w:cs="Times New Roman"/>
          <w:color w:val="000000"/>
          <w:sz w:val="30"/>
          <w:szCs w:val="30"/>
        </w:rPr>
        <w:t>单位净持仓盈利的</w:t>
      </w:r>
      <w:r>
        <w:rPr>
          <w:rFonts w:ascii="Times New Roman" w:eastAsia="方正仿宋简体" w:hAnsi="Times New Roman" w:cs="Times New Roman" w:hint="eastAsia"/>
          <w:color w:val="000000"/>
          <w:sz w:val="30"/>
          <w:szCs w:val="30"/>
        </w:rPr>
        <w:t>一般持仓</w:t>
      </w:r>
      <w:r>
        <w:rPr>
          <w:rFonts w:ascii="Times New Roman" w:eastAsia="方正仿宋简体" w:hAnsi="Times New Roman" w:cs="Times New Roman"/>
          <w:color w:val="000000"/>
          <w:sz w:val="30"/>
          <w:szCs w:val="30"/>
        </w:rPr>
        <w:t>以及</w:t>
      </w:r>
      <w:r>
        <w:rPr>
          <w:rFonts w:ascii="Times New Roman" w:eastAsia="方正仿宋简体" w:hAnsi="Times New Roman" w:cs="Times New Roman" w:hint="eastAsia"/>
          <w:color w:val="000000"/>
          <w:sz w:val="30"/>
          <w:szCs w:val="30"/>
        </w:rPr>
        <w:t>交易者</w:t>
      </w:r>
      <w:r>
        <w:rPr>
          <w:rFonts w:ascii="Times New Roman" w:eastAsia="方正仿宋简体" w:hAnsi="Times New Roman" w:cs="Times New Roman"/>
          <w:color w:val="000000"/>
          <w:sz w:val="30"/>
          <w:szCs w:val="30"/>
        </w:rPr>
        <w:t>单位净持仓盈利大于或者等于强制减仓基准日结算价</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的</w:t>
      </w:r>
      <w:r>
        <w:rPr>
          <w:rFonts w:ascii="Times New Roman" w:eastAsia="方正仿宋简体" w:hAnsi="Times New Roman" w:cs="Times New Roman" w:hint="eastAsia"/>
          <w:color w:val="000000"/>
          <w:sz w:val="30"/>
          <w:szCs w:val="30"/>
        </w:rPr>
        <w:t>套期保值交易持仓</w:t>
      </w:r>
      <w:r>
        <w:rPr>
          <w:rFonts w:ascii="Times New Roman" w:eastAsia="方正仿宋简体" w:hAnsi="Times New Roman" w:cs="Times New Roman"/>
          <w:color w:val="000000"/>
          <w:sz w:val="30"/>
          <w:szCs w:val="30"/>
        </w:rPr>
        <w:t>都列入平仓范围。</w:t>
      </w:r>
    </w:p>
    <w:p w:rsidR="00CF2146" w:rsidRDefault="003006EC">
      <w:pPr>
        <w:autoSpaceDE w:val="0"/>
        <w:autoSpaceDN w:val="0"/>
        <w:adjustRightInd w:val="0"/>
        <w:spacing w:line="56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（三）平仓数量的分配原则。在平仓范围内按盈利的大小和</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持仓与</w:t>
      </w:r>
      <w:r>
        <w:rPr>
          <w:rFonts w:ascii="Times New Roman" w:eastAsia="方正仿宋简体" w:hAnsi="Times New Roman" w:cs="Times New Roman" w:hint="eastAsia"/>
          <w:color w:val="000000"/>
          <w:sz w:val="30"/>
          <w:szCs w:val="30"/>
        </w:rPr>
        <w:t>套期保值交易持仓</w:t>
      </w:r>
      <w:r>
        <w:rPr>
          <w:rFonts w:ascii="Times New Roman" w:eastAsia="方正仿宋简体" w:hAnsi="Times New Roman" w:cs="Times New Roman"/>
          <w:color w:val="000000"/>
          <w:sz w:val="30"/>
          <w:szCs w:val="30"/>
        </w:rPr>
        <w:t>的不同分成四级，逐级进行分配。首先分配给属平仓范围内单位净持仓盈利大于或者等于强制减仓基准日结算价</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持仓；其次分配给单位净持仓盈利大于或者等于强制减仓基准日结算价</w:t>
      </w:r>
      <w:r>
        <w:rPr>
          <w:rFonts w:ascii="Times New Roman" w:eastAsia="方正仿宋简体" w:hAnsi="Times New Roman" w:cs="Times New Roman"/>
          <w:color w:val="000000"/>
          <w:sz w:val="30"/>
          <w:szCs w:val="30"/>
        </w:rPr>
        <w:t>3%</w:t>
      </w:r>
      <w:r>
        <w:rPr>
          <w:rFonts w:ascii="Times New Roman" w:eastAsia="方正仿宋简体" w:hAnsi="Times New Roman" w:cs="Times New Roman"/>
          <w:color w:val="000000"/>
          <w:sz w:val="30"/>
          <w:szCs w:val="30"/>
        </w:rPr>
        <w:t>，小于</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持仓；再次分配给单位净持仓盈利小于强制减仓基准日结算价</w:t>
      </w:r>
      <w:r>
        <w:rPr>
          <w:rFonts w:ascii="Times New Roman" w:eastAsia="方正仿宋简体" w:hAnsi="Times New Roman" w:cs="Times New Roman"/>
          <w:color w:val="000000"/>
          <w:sz w:val="30"/>
          <w:szCs w:val="30"/>
        </w:rPr>
        <w:t>3%</w:t>
      </w:r>
      <w:r>
        <w:rPr>
          <w:rFonts w:ascii="Times New Roman" w:eastAsia="方正仿宋简体" w:hAnsi="Times New Roman" w:cs="Times New Roman"/>
          <w:color w:val="000000"/>
          <w:sz w:val="30"/>
          <w:szCs w:val="30"/>
        </w:rPr>
        <w:t>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持仓；最后分配给单位净持仓盈利大于或者等于强制减仓基准日结算价</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的</w:t>
      </w:r>
      <w:r>
        <w:rPr>
          <w:rFonts w:ascii="Times New Roman" w:eastAsia="方正仿宋简体" w:hAnsi="Times New Roman" w:cs="Times New Roman" w:hint="eastAsia"/>
          <w:color w:val="000000"/>
          <w:sz w:val="30"/>
          <w:szCs w:val="30"/>
        </w:rPr>
        <w:t>套期保值交易持仓</w:t>
      </w:r>
      <w:r>
        <w:rPr>
          <w:rFonts w:ascii="Times New Roman" w:eastAsia="方正仿宋简体" w:hAnsi="Times New Roman" w:cs="Times New Roman"/>
          <w:color w:val="000000"/>
          <w:sz w:val="30"/>
          <w:szCs w:val="30"/>
        </w:rPr>
        <w:t>。上述各级分配比例均按申报平仓数量（剩余申报平仓数量）与各级可平仓的盈利持仓数</w:t>
      </w:r>
      <w:r>
        <w:rPr>
          <w:rFonts w:ascii="Times New Roman" w:eastAsia="方正仿宋简体" w:hAnsi="Times New Roman" w:cs="Times New Roman"/>
          <w:color w:val="000000"/>
          <w:sz w:val="30"/>
          <w:szCs w:val="30"/>
        </w:rPr>
        <w:t>量之比进行分配</w:t>
      </w:r>
      <w:r>
        <w:rPr>
          <w:rFonts w:ascii="Times New Roman" w:eastAsia="方正仿宋简体" w:hAnsi="Times New Roman" w:cs="Times New Roman" w:hint="eastAsia"/>
          <w:color w:val="000000"/>
          <w:sz w:val="30"/>
          <w:szCs w:val="30"/>
        </w:rPr>
        <w:t>。</w:t>
      </w:r>
    </w:p>
    <w:p w:rsidR="00CF2146" w:rsidRDefault="003006EC">
      <w:pPr>
        <w:spacing w:line="560" w:lineRule="exact"/>
        <w:ind w:firstLineChars="200" w:firstLine="600"/>
        <w:rPr>
          <w:rFonts w:ascii="Times New Roman" w:eastAsia="方正仿宋简体" w:hAnsi="Times New Roman" w:cs="Times New Roman"/>
          <w:color w:val="000000"/>
          <w:sz w:val="30"/>
          <w:szCs w:val="30"/>
        </w:rPr>
      </w:pPr>
      <w:r>
        <w:rPr>
          <w:rFonts w:ascii="Times New Roman" w:eastAsia="方正仿宋简体" w:hAnsi="Times New Roman" w:cs="Times New Roman"/>
          <w:color w:val="000000"/>
          <w:sz w:val="30"/>
          <w:szCs w:val="30"/>
        </w:rPr>
        <w:t>（四）平仓数量的分配方法。盈利</w:t>
      </w:r>
      <w:r>
        <w:rPr>
          <w:rFonts w:ascii="Times New Roman" w:eastAsia="方正仿宋简体" w:hAnsi="Times New Roman" w:cs="Times New Roman"/>
          <w:sz w:val="30"/>
          <w:szCs w:val="30"/>
        </w:rPr>
        <w:t>6</w:t>
      </w:r>
      <w:r>
        <w:rPr>
          <w:rFonts w:ascii="Times New Roman" w:eastAsia="方正仿宋简体" w:hAnsi="Times New Roman" w:cs="Times New Roman"/>
          <w:color w:val="000000"/>
          <w:sz w:val="30"/>
          <w:szCs w:val="30"/>
        </w:rPr>
        <w:t>%</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持仓数量大于或者等于申报平仓数量的，根据申报平仓数量与盈利</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持仓数量的比例，将申报平仓数量向盈利</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持仓分配实际平仓数量；盈利</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持仓数量小于申报平仓数量的，根据盈利</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持仓数量与申报平仓数量的比例，将盈利</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以上</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持仓数量向申报平仓</w:t>
      </w:r>
      <w:r>
        <w:rPr>
          <w:rFonts w:ascii="Times New Roman" w:eastAsia="方正仿宋简体" w:hAnsi="Times New Roman" w:cs="Times New Roman" w:hint="eastAsia"/>
          <w:color w:val="000000"/>
          <w:sz w:val="30"/>
          <w:szCs w:val="30"/>
        </w:rPr>
        <w:t>交易者</w:t>
      </w:r>
      <w:r>
        <w:rPr>
          <w:rFonts w:ascii="Times New Roman" w:eastAsia="方正仿宋简体" w:hAnsi="Times New Roman" w:cs="Times New Roman"/>
          <w:color w:val="000000"/>
          <w:sz w:val="30"/>
          <w:szCs w:val="30"/>
        </w:rPr>
        <w:t>分配实际平仓数量。再把剩余的申报平仓数量按上述的分配方法向盈利</w:t>
      </w:r>
      <w:r>
        <w:rPr>
          <w:rFonts w:ascii="Times New Roman" w:eastAsia="方正仿宋简体" w:hAnsi="Times New Roman" w:cs="Times New Roman"/>
          <w:color w:val="000000"/>
          <w:sz w:val="30"/>
          <w:szCs w:val="30"/>
        </w:rPr>
        <w:t>3%</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持仓分配；还有剩余的，再向盈利</w:t>
      </w:r>
      <w:r>
        <w:rPr>
          <w:rFonts w:ascii="Times New Roman" w:eastAsia="方正仿宋简体" w:hAnsi="Times New Roman" w:cs="Times New Roman"/>
          <w:color w:val="000000"/>
          <w:sz w:val="30"/>
          <w:szCs w:val="30"/>
        </w:rPr>
        <w:t>3%</w:t>
      </w:r>
      <w:r>
        <w:rPr>
          <w:rFonts w:ascii="Times New Roman" w:eastAsia="方正仿宋简体" w:hAnsi="Times New Roman" w:cs="Times New Roman"/>
          <w:color w:val="000000"/>
          <w:sz w:val="30"/>
          <w:szCs w:val="30"/>
        </w:rPr>
        <w:t>以下的</w:t>
      </w:r>
      <w:r>
        <w:rPr>
          <w:rFonts w:ascii="Times New Roman" w:eastAsia="方正仿宋简体" w:hAnsi="Times New Roman" w:cs="Times New Roman" w:hint="eastAsia"/>
          <w:color w:val="000000"/>
          <w:sz w:val="30"/>
          <w:szCs w:val="30"/>
        </w:rPr>
        <w:t>一般</w:t>
      </w:r>
      <w:r>
        <w:rPr>
          <w:rFonts w:ascii="Times New Roman" w:eastAsia="方正仿宋简体" w:hAnsi="Times New Roman" w:cs="Times New Roman"/>
          <w:color w:val="000000"/>
          <w:sz w:val="30"/>
          <w:szCs w:val="30"/>
        </w:rPr>
        <w:t>持仓分配；再有剩余的，再向盈利</w:t>
      </w:r>
      <w:r>
        <w:rPr>
          <w:rFonts w:ascii="Times New Roman" w:eastAsia="方正仿宋简体" w:hAnsi="Times New Roman" w:cs="Times New Roman"/>
          <w:color w:val="000000"/>
          <w:sz w:val="30"/>
          <w:szCs w:val="30"/>
        </w:rPr>
        <w:t>6%</w:t>
      </w:r>
      <w:r>
        <w:rPr>
          <w:rFonts w:ascii="Times New Roman" w:eastAsia="方正仿宋简体" w:hAnsi="Times New Roman" w:cs="Times New Roman"/>
          <w:color w:val="000000"/>
          <w:sz w:val="30"/>
          <w:szCs w:val="30"/>
        </w:rPr>
        <w:t>以上的</w:t>
      </w:r>
      <w:r>
        <w:rPr>
          <w:rFonts w:ascii="Times New Roman" w:eastAsia="方正仿宋简体" w:hAnsi="Times New Roman" w:cs="Times New Roman" w:hint="eastAsia"/>
          <w:color w:val="000000"/>
          <w:sz w:val="30"/>
          <w:szCs w:val="30"/>
        </w:rPr>
        <w:t>套期保值交易持仓</w:t>
      </w:r>
      <w:r>
        <w:rPr>
          <w:rFonts w:ascii="Times New Roman" w:eastAsia="方正仿宋简体" w:hAnsi="Times New Roman" w:cs="Times New Roman"/>
          <w:color w:val="000000"/>
          <w:sz w:val="30"/>
          <w:szCs w:val="30"/>
        </w:rPr>
        <w:t>分配。还有剩余的不再分配。</w:t>
      </w:r>
    </w:p>
    <w:p w:rsidR="00CF2146" w:rsidRDefault="003006EC">
      <w:pPr>
        <w:spacing w:line="560" w:lineRule="exact"/>
        <w:jc w:val="center"/>
        <w:rPr>
          <w:rFonts w:ascii="Times New Roman" w:eastAsia="黑体" w:hAnsi="Times New Roman" w:cs="Times New Roman"/>
          <w:sz w:val="30"/>
          <w:szCs w:val="30"/>
        </w:rPr>
      </w:pPr>
      <w:r>
        <w:rPr>
          <w:rFonts w:ascii="Times New Roman" w:eastAsia="黑体" w:hAnsi="Times New Roman" w:cs="Times New Roman"/>
          <w:sz w:val="30"/>
          <w:szCs w:val="30"/>
        </w:rPr>
        <w:t>第五章</w:t>
      </w:r>
      <w:r>
        <w:rPr>
          <w:rFonts w:ascii="Times New Roman" w:eastAsia="黑体" w:hAnsi="Times New Roman" w:cs="Times New Roman"/>
          <w:sz w:val="30"/>
          <w:szCs w:val="30"/>
        </w:rPr>
        <w:t xml:space="preserve"> </w:t>
      </w:r>
      <w:r>
        <w:rPr>
          <w:rFonts w:ascii="Times New Roman" w:eastAsia="黑体" w:hAnsi="Times New Roman" w:cs="Times New Roman"/>
          <w:sz w:val="30"/>
          <w:szCs w:val="30"/>
        </w:rPr>
        <w:t>附则</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第三十一条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本细则未规定的，按照交易所相关业务规则的规定执行。</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第三十二条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违反本细则规定的，交易所按照《上海期货交易所违规处理办法》的有关规定处理。</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第三十三条</w:t>
      </w:r>
      <w:r>
        <w:rPr>
          <w:rFonts w:ascii="Times New Roman" w:eastAsia="方正仿宋简体" w:hAnsi="Times New Roman" w:cs="Times New Roman"/>
          <w:b/>
          <w:sz w:val="30"/>
          <w:szCs w:val="30"/>
        </w:rPr>
        <w:t xml:space="preserve"> </w:t>
      </w:r>
      <w:r>
        <w:rPr>
          <w:rFonts w:ascii="Times New Roman" w:eastAsia="方正仿宋简体" w:hAnsi="Times New Roman" w:cs="Times New Roman"/>
          <w:sz w:val="30"/>
          <w:szCs w:val="30"/>
        </w:rPr>
        <w:t>本细则的解释权属于上海期货交易所。</w:t>
      </w:r>
    </w:p>
    <w:p w:rsidR="00CF2146" w:rsidRDefault="003006EC">
      <w:pPr>
        <w:spacing w:line="560" w:lineRule="exact"/>
        <w:ind w:firstLineChars="200" w:firstLine="602"/>
        <w:rPr>
          <w:rFonts w:ascii="Times New Roman" w:eastAsia="方正仿宋简体" w:hAnsi="Times New Roman" w:cs="Times New Roman"/>
          <w:sz w:val="30"/>
          <w:szCs w:val="30"/>
        </w:rPr>
      </w:pPr>
      <w:r>
        <w:rPr>
          <w:rFonts w:ascii="Times New Roman" w:eastAsia="方正仿宋简体" w:hAnsi="Times New Roman" w:cs="Times New Roman"/>
          <w:b/>
          <w:sz w:val="30"/>
          <w:szCs w:val="30"/>
        </w:rPr>
        <w:t>第三十四条</w:t>
      </w:r>
      <w:r>
        <w:rPr>
          <w:rFonts w:ascii="Times New Roman" w:eastAsia="方正仿宋简体" w:hAnsi="Times New Roman" w:cs="Times New Roman" w:hint="eastAsia"/>
          <w:b/>
          <w:sz w:val="30"/>
          <w:szCs w:val="30"/>
        </w:rPr>
        <w:t xml:space="preserve"> </w:t>
      </w:r>
      <w:r>
        <w:rPr>
          <w:rFonts w:ascii="Times New Roman" w:eastAsia="方正仿宋简体" w:hAnsi="Times New Roman" w:cs="Times New Roman"/>
          <w:sz w:val="30"/>
          <w:szCs w:val="30"/>
        </w:rPr>
        <w:t>本细则自</w:t>
      </w:r>
      <w:r>
        <w:rPr>
          <w:rFonts w:ascii="Times" w:eastAsia="方正仿宋简体" w:hAnsi="Times" w:cs="Times New Roman"/>
          <w:color w:val="000000" w:themeColor="text1"/>
          <w:sz w:val="30"/>
          <w:szCs w:val="30"/>
        </w:rPr>
        <w:t>202</w:t>
      </w:r>
      <w:r>
        <w:rPr>
          <w:rFonts w:ascii="Times" w:eastAsia="方正仿宋简体" w:hAnsi="Times" w:cs="Times New Roman" w:hint="eastAsia"/>
          <w:color w:val="000000" w:themeColor="text1"/>
          <w:sz w:val="30"/>
          <w:szCs w:val="30"/>
        </w:rPr>
        <w:t>6</w:t>
      </w:r>
      <w:r>
        <w:rPr>
          <w:rFonts w:ascii="Times" w:eastAsia="方正仿宋简体" w:hAnsi="Times" w:cs="Times New Roman" w:hint="eastAsia"/>
          <w:sz w:val="30"/>
          <w:szCs w:val="30"/>
        </w:rPr>
        <w:t>年</w:t>
      </w:r>
      <w:r>
        <w:rPr>
          <w:rFonts w:ascii="Times" w:eastAsia="方正仿宋简体" w:hAnsi="Times" w:cs="Times New Roman" w:hint="eastAsia"/>
          <w:b/>
          <w:bCs/>
          <w:color w:val="FF0000"/>
          <w:sz w:val="30"/>
          <w:szCs w:val="30"/>
        </w:rPr>
        <w:t>3</w:t>
      </w:r>
      <w:r>
        <w:rPr>
          <w:rFonts w:ascii="Times" w:eastAsia="方正仿宋简体" w:hAnsi="Times" w:cs="Times New Roman" w:hint="eastAsia"/>
          <w:sz w:val="30"/>
          <w:szCs w:val="30"/>
        </w:rPr>
        <w:t>月</w:t>
      </w:r>
      <w:r>
        <w:rPr>
          <w:rFonts w:ascii="Times" w:eastAsia="方正仿宋简体" w:hAnsi="Times" w:cs="Times New Roman" w:hint="eastAsia"/>
          <w:b/>
          <w:bCs/>
          <w:color w:val="FF0000"/>
          <w:sz w:val="30"/>
          <w:szCs w:val="30"/>
        </w:rPr>
        <w:t>17</w:t>
      </w:r>
      <w:r>
        <w:rPr>
          <w:rFonts w:ascii="Times" w:eastAsia="方正仿宋简体" w:hAnsi="Times" w:cs="Times New Roman" w:hint="eastAsia"/>
          <w:sz w:val="30"/>
          <w:szCs w:val="30"/>
        </w:rPr>
        <w:t>日</w:t>
      </w:r>
      <w:r>
        <w:rPr>
          <w:rFonts w:ascii="Times New Roman" w:eastAsia="方正仿宋简体" w:hAnsi="Times New Roman" w:cs="Times New Roman"/>
          <w:sz w:val="30"/>
          <w:szCs w:val="30"/>
        </w:rPr>
        <w:t>起实施。</w:t>
      </w:r>
    </w:p>
    <w:p w:rsidR="00CF2146" w:rsidRDefault="00CF2146"/>
    <w:sectPr w:rsidR="00CF2146" w:rsidSect="008165A9">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6EC" w:rsidRDefault="003006EC" w:rsidP="008165A9">
      <w:r>
        <w:separator/>
      </w:r>
    </w:p>
  </w:endnote>
  <w:endnote w:type="continuationSeparator" w:id="0">
    <w:p w:rsidR="003006EC" w:rsidRDefault="003006EC" w:rsidP="0081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46691"/>
      <w:docPartObj>
        <w:docPartGallery w:val="Page Numbers (Bottom of Page)"/>
        <w:docPartUnique/>
      </w:docPartObj>
    </w:sdtPr>
    <w:sdtEndPr>
      <w:rPr>
        <w:rFonts w:ascii="Times New Roman" w:hAnsi="Times New Roman" w:cs="Times New Roman"/>
        <w:sz w:val="24"/>
        <w:szCs w:val="24"/>
      </w:rPr>
    </w:sdtEndPr>
    <w:sdtContent>
      <w:p w:rsidR="008165A9" w:rsidRPr="008165A9" w:rsidRDefault="008165A9">
        <w:pPr>
          <w:pStyle w:val="a4"/>
          <w:jc w:val="center"/>
          <w:rPr>
            <w:rFonts w:ascii="Times New Roman" w:hAnsi="Times New Roman" w:cs="Times New Roman"/>
            <w:sz w:val="24"/>
            <w:szCs w:val="24"/>
          </w:rPr>
        </w:pPr>
        <w:r w:rsidRPr="008165A9">
          <w:rPr>
            <w:rFonts w:ascii="Times New Roman" w:hAnsi="Times New Roman" w:cs="Times New Roman"/>
            <w:sz w:val="24"/>
            <w:szCs w:val="24"/>
          </w:rPr>
          <w:fldChar w:fldCharType="begin"/>
        </w:r>
        <w:r w:rsidRPr="008165A9">
          <w:rPr>
            <w:rFonts w:ascii="Times New Roman" w:hAnsi="Times New Roman" w:cs="Times New Roman"/>
            <w:sz w:val="24"/>
            <w:szCs w:val="24"/>
          </w:rPr>
          <w:instrText>PAGE   \* MERGEFORMAT</w:instrText>
        </w:r>
        <w:r w:rsidRPr="008165A9">
          <w:rPr>
            <w:rFonts w:ascii="Times New Roman" w:hAnsi="Times New Roman" w:cs="Times New Roman"/>
            <w:sz w:val="24"/>
            <w:szCs w:val="24"/>
          </w:rPr>
          <w:fldChar w:fldCharType="separate"/>
        </w:r>
        <w:r w:rsidR="003006EC" w:rsidRPr="003006EC">
          <w:rPr>
            <w:rFonts w:ascii="Times New Roman" w:hAnsi="Times New Roman" w:cs="Times New Roman"/>
            <w:noProof/>
            <w:sz w:val="24"/>
            <w:szCs w:val="24"/>
            <w:lang w:val="zh-CN"/>
          </w:rPr>
          <w:t>-</w:t>
        </w:r>
        <w:r w:rsidR="003006EC">
          <w:rPr>
            <w:rFonts w:ascii="Times New Roman" w:hAnsi="Times New Roman" w:cs="Times New Roman"/>
            <w:noProof/>
            <w:sz w:val="24"/>
            <w:szCs w:val="24"/>
          </w:rPr>
          <w:t xml:space="preserve"> 1 -</w:t>
        </w:r>
        <w:r w:rsidRPr="008165A9">
          <w:rPr>
            <w:rFonts w:ascii="Times New Roman" w:hAnsi="Times New Roman" w:cs="Times New Roman"/>
            <w:sz w:val="24"/>
            <w:szCs w:val="24"/>
          </w:rPr>
          <w:fldChar w:fldCharType="end"/>
        </w:r>
      </w:p>
    </w:sdtContent>
  </w:sdt>
  <w:p w:rsidR="008165A9" w:rsidRDefault="008165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6EC" w:rsidRDefault="003006EC" w:rsidP="008165A9">
      <w:r>
        <w:separator/>
      </w:r>
    </w:p>
  </w:footnote>
  <w:footnote w:type="continuationSeparator" w:id="0">
    <w:p w:rsidR="003006EC" w:rsidRDefault="003006EC" w:rsidP="008165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D61B7F"/>
    <w:rsid w:val="DED61B7F"/>
    <w:rsid w:val="FDE71FCA"/>
    <w:rsid w:val="FDFD525C"/>
    <w:rsid w:val="003006EC"/>
    <w:rsid w:val="008165A9"/>
    <w:rsid w:val="00CF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843E13-3855-4F78-A5BF-CA63A091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16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165A9"/>
    <w:rPr>
      <w:kern w:val="2"/>
      <w:sz w:val="18"/>
      <w:szCs w:val="18"/>
    </w:rPr>
  </w:style>
  <w:style w:type="paragraph" w:styleId="a4">
    <w:name w:val="footer"/>
    <w:basedOn w:val="a"/>
    <w:link w:val="Char0"/>
    <w:uiPriority w:val="99"/>
    <w:rsid w:val="008165A9"/>
    <w:pPr>
      <w:tabs>
        <w:tab w:val="center" w:pos="4153"/>
        <w:tab w:val="right" w:pos="8306"/>
      </w:tabs>
      <w:snapToGrid w:val="0"/>
      <w:jc w:val="left"/>
    </w:pPr>
    <w:rPr>
      <w:sz w:val="18"/>
      <w:szCs w:val="18"/>
    </w:rPr>
  </w:style>
  <w:style w:type="character" w:customStyle="1" w:styleId="Char0">
    <w:name w:val="页脚 Char"/>
    <w:basedOn w:val="a0"/>
    <w:link w:val="a4"/>
    <w:uiPriority w:val="99"/>
    <w:rsid w:val="008165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ji.shuoren</dc:creator>
  <cp:lastModifiedBy>shfe</cp:lastModifiedBy>
  <cp:revision>2</cp:revision>
  <cp:lastPrinted>2026-03-03T09:37:00Z</cp:lastPrinted>
  <dcterms:created xsi:type="dcterms:W3CDTF">2026-02-06T05:52:00Z</dcterms:created>
  <dcterms:modified xsi:type="dcterms:W3CDTF">2026-03-05T03:46:00Z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DCB24A9B721D9D9D27308469224263CB</vt:lpwstr>
  </property>
</Properties>
</file>