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方正大标宋简体" w:hAnsi="方正大标宋简体" w:eastAsia="方正大标宋简体"/>
          <w:sz w:val="42"/>
          <w:szCs w:val="42"/>
          <w:lang w:val="en-US" w:eastAsia="zh-CN"/>
        </w:rPr>
      </w:pPr>
      <w:r>
        <w:rPr>
          <w:rFonts w:hint="eastAsia" w:ascii="方正大标宋简体" w:hAnsi="方正大标宋简体" w:eastAsia="方正大标宋简体"/>
          <w:sz w:val="42"/>
          <w:szCs w:val="42"/>
        </w:rPr>
        <w:t>附件</w:t>
      </w:r>
      <w:r>
        <w:rPr>
          <w:rFonts w:hint="eastAsia" w:ascii="方正大标宋简体" w:hAnsi="方正大标宋简体" w:eastAsia="方正大标宋简体"/>
          <w:sz w:val="42"/>
          <w:szCs w:val="42"/>
          <w:lang w:val="en-US" w:eastAsia="zh-CN"/>
        </w:rPr>
        <w:t>4</w:t>
      </w:r>
    </w:p>
    <w:p>
      <w:pPr>
        <w:widowControl/>
        <w:shd w:val="clear" w:color="auto" w:fill="FFFFFF"/>
        <w:spacing w:line="560" w:lineRule="exact"/>
        <w:rPr>
          <w:rFonts w:hint="eastAsia" w:ascii="方正大标宋简体" w:hAnsi="方正大标宋简体" w:eastAsia="方正大标宋简体"/>
          <w:sz w:val="42"/>
          <w:szCs w:val="42"/>
          <w:lang w:val="en-US" w:eastAsia="zh-CN"/>
        </w:rPr>
      </w:pPr>
    </w:p>
    <w:p>
      <w:pPr>
        <w:widowControl/>
        <w:shd w:val="clear" w:color="auto" w:fill="FFFFFF"/>
        <w:spacing w:line="560" w:lineRule="exact"/>
        <w:jc w:val="center"/>
        <w:rPr>
          <w:rFonts w:hint="eastAsia" w:ascii="方正大标宋简体" w:hAnsi="方正大标宋简体" w:eastAsia="方正大标宋简体"/>
          <w:sz w:val="42"/>
          <w:szCs w:val="42"/>
        </w:rPr>
      </w:pPr>
      <w:r>
        <w:rPr>
          <w:rFonts w:hint="eastAsia" w:ascii="方正大标宋简体" w:hAnsi="方正大标宋简体" w:eastAsia="方正大标宋简体"/>
          <w:sz w:val="42"/>
          <w:szCs w:val="42"/>
        </w:rPr>
        <w:t>相关品种业务细则（修订版）</w:t>
      </w:r>
    </w:p>
    <w:p>
      <w:pPr>
        <w:widowControl/>
        <w:shd w:val="clear" w:color="auto" w:fill="FFFFFF"/>
        <w:spacing w:line="560" w:lineRule="exact"/>
        <w:rPr>
          <w:rFonts w:hint="eastAsia" w:ascii="方正大标宋简体" w:hAnsi="方正大标宋简体" w:eastAsia="方正大标宋简体"/>
          <w:sz w:val="42"/>
          <w:szCs w:val="42"/>
          <w:lang w:val="en-US" w:eastAsia="zh-CN"/>
        </w:rPr>
      </w:pPr>
    </w:p>
    <w:p>
      <w:pPr>
        <w:ind w:firstLine="840" w:firstLineChars="200"/>
        <w:rPr>
          <w:rFonts w:ascii="方正大标宋简体" w:hAnsi="方正大标宋简体" w:eastAsia="方正大标宋简体"/>
          <w:sz w:val="42"/>
          <w:szCs w:val="42"/>
        </w:rPr>
      </w:pP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上海期货交易所阴极铜期货业务细则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bCs/>
          <w:sz w:val="28"/>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为了规范上海期货交易所（以下简称交易所）阴极铜（以下简称铜）期货相关业务，根据《上海期货交易所交易规则》《上海期货交易所阴极铜期货合约》以及相关业务规则，制定本细则。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铜期货合约的交易单位为5吨/手。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铜期货合约的报价单位为元（人民币）/吨。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铜期货合约的最小变动价位为10元/吨。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铜期货合约月份为1～12月。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铜期货合约的交易时间为上午9:00～11:30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铜期货合约的最后交易日为合约月份的15日，遇国家法定节假日顺延，春节月份等最后交易日交易所可另行调整并通知。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铜期货合约的交易代码为CU。</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铜期货套期保值交易持仓额度和套利交易持仓额度，所涉的一般月份是指合约挂牌至交割月前第二月的最后一个交易日，所涉的临近交割月份是指交割月前第一月和交割月份。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按合约方式申请铜</w:t>
      </w:r>
      <w:r>
        <w:rPr>
          <w:rFonts w:eastAsia="方正仿宋简体"/>
          <w:sz w:val="30"/>
          <w:szCs w:val="30"/>
        </w:rPr>
        <w:t>期货一般月份套期保值交易</w:t>
      </w:r>
      <w:r>
        <w:rPr>
          <w:rFonts w:hint="eastAsia" w:eastAsia="方正仿宋简体"/>
          <w:sz w:val="30"/>
          <w:szCs w:val="30"/>
        </w:rPr>
        <w:t>持仓额度</w:t>
      </w:r>
      <w:r>
        <w:rPr>
          <w:rFonts w:eastAsia="方正仿宋简体"/>
          <w:sz w:val="30"/>
          <w:szCs w:val="30"/>
        </w:rPr>
        <w:t>的</w:t>
      </w:r>
      <w:r>
        <w:rPr>
          <w:rFonts w:hint="eastAsia" w:eastAsia="方正仿宋简体"/>
          <w:sz w:val="30"/>
          <w:szCs w:val="30"/>
        </w:rPr>
        <w:t>，</w:t>
      </w:r>
      <w:r>
        <w:rPr>
          <w:rFonts w:eastAsia="方正仿宋简体"/>
          <w:sz w:val="30"/>
          <w:szCs w:val="30"/>
        </w:rPr>
        <w:t>应当在该套期保值所涉合约交割月前第二月的最后一个交易日之前提出，逾期交易所不再受理。</w:t>
      </w:r>
      <w:r>
        <w:rPr>
          <w:rFonts w:hint="eastAsia" w:eastAsia="方正仿宋简体"/>
          <w:sz w:val="30"/>
          <w:szCs w:val="30"/>
        </w:rPr>
        <w:t>按品种方式申请一般月份套期保值交易持仓额度的，按照《上海期货交易所套期保值交易管理办法》相关</w:t>
      </w:r>
      <w:r>
        <w:rPr>
          <w:rFonts w:eastAsia="方正仿宋简体"/>
          <w:sz w:val="30"/>
          <w:szCs w:val="30"/>
        </w:rPr>
        <w:t>规定</w:t>
      </w:r>
      <w:r>
        <w:rPr>
          <w:rFonts w:hint="eastAsia" w:eastAsia="方正仿宋简体"/>
          <w:sz w:val="30"/>
          <w:szCs w:val="30"/>
        </w:rPr>
        <w:t>执行。</w:t>
      </w:r>
    </w:p>
    <w:p>
      <w:pPr>
        <w:spacing w:line="560" w:lineRule="exact"/>
        <w:ind w:firstLine="600" w:firstLineChars="200"/>
        <w:rPr>
          <w:rFonts w:eastAsia="方正仿宋简体"/>
          <w:sz w:val="30"/>
          <w:szCs w:val="30"/>
        </w:rPr>
      </w:pPr>
      <w:r>
        <w:rPr>
          <w:rFonts w:hint="eastAsia" w:eastAsia="方正仿宋简体"/>
          <w:sz w:val="30"/>
          <w:szCs w:val="30"/>
        </w:rPr>
        <w:t>铜</w:t>
      </w:r>
      <w:r>
        <w:rPr>
          <w:rFonts w:eastAsia="方正仿宋简体"/>
          <w:sz w:val="30"/>
          <w:szCs w:val="30"/>
        </w:rPr>
        <w:t>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sz w:val="30"/>
          <w:szCs w:val="30"/>
        </w:rPr>
        <w:t>二</w:t>
      </w:r>
      <w:r>
        <w:rPr>
          <w:rFonts w:eastAsia="方正仿宋简体"/>
          <w:sz w:val="30"/>
          <w:szCs w:val="30"/>
        </w:rPr>
        <w:t>月的第一个交易日至交割月前第一月的最后一个交易日之间提出，逾期交易所不再受理；</w:t>
      </w:r>
      <w:r>
        <w:rPr>
          <w:rFonts w:hint="eastAsia" w:eastAsia="方正仿宋简体"/>
          <w:sz w:val="30"/>
          <w:szCs w:val="30"/>
        </w:rPr>
        <w:t>铜</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铜</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铜期货适用期货转现货、仓库交割。</w:t>
      </w:r>
    </w:p>
    <w:p>
      <w:pPr>
        <w:spacing w:line="560" w:lineRule="exact"/>
        <w:ind w:firstLine="600" w:firstLineChars="200"/>
        <w:rPr>
          <w:rFonts w:eastAsia="方正仿宋简体"/>
          <w:sz w:val="30"/>
          <w:szCs w:val="30"/>
        </w:rPr>
      </w:pPr>
      <w:r>
        <w:rPr>
          <w:rFonts w:eastAsia="方正仿宋简体"/>
          <w:sz w:val="30"/>
          <w:szCs w:val="30"/>
        </w:rPr>
        <w:t>铜期货实行完税交割、保税交割。</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sz w:val="30"/>
          <w:szCs w:val="30"/>
        </w:rPr>
        <w:t xml:space="preserve"> 铜期货交割品级详见《上海期货交易所阴极铜期货合约》。</w:t>
      </w:r>
    </w:p>
    <w:p>
      <w:pPr>
        <w:spacing w:line="560" w:lineRule="exact"/>
        <w:ind w:firstLine="602" w:firstLineChars="200"/>
        <w:rPr>
          <w:rFonts w:eastAsia="方正仿宋简体"/>
          <w:sz w:val="30"/>
          <w:szCs w:val="30"/>
        </w:rPr>
      </w:pPr>
      <w:r>
        <w:rPr>
          <w:rFonts w:eastAsia="方正仿宋简体"/>
          <w:b/>
          <w:sz w:val="30"/>
          <w:szCs w:val="30"/>
        </w:rPr>
        <w:t>第十五条</w:t>
      </w:r>
      <w:r>
        <w:rPr>
          <w:rFonts w:eastAsia="方正仿宋简体"/>
          <w:sz w:val="30"/>
          <w:szCs w:val="30"/>
        </w:rPr>
        <w:t xml:space="preserve"> 铜期货交割商品应当是交易所注册的生产企业生产的注册商标的商品。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交割商品的包装 </w:t>
      </w:r>
    </w:p>
    <w:p>
      <w:pPr>
        <w:spacing w:line="560" w:lineRule="exact"/>
        <w:ind w:firstLine="600" w:firstLineChars="200"/>
        <w:rPr>
          <w:rFonts w:eastAsia="方正仿宋简体"/>
          <w:sz w:val="30"/>
          <w:szCs w:val="30"/>
        </w:rPr>
      </w:pPr>
      <w:r>
        <w:rPr>
          <w:rFonts w:eastAsia="方正仿宋简体"/>
          <w:sz w:val="30"/>
          <w:szCs w:val="30"/>
        </w:rPr>
        <w:t>（一）商品的包装：每一交割单位阴极铜应当是同一生产企业生产、同一注册商标、同一质量品级、同一块形、捆重近似的商品组成。注册生产企业自行选定注册产品捆重，但要利于组手，每捆包装采用表面作防锈处理的钢带井字形捆扎（或者坚固程度相当的钢带捆扎方式），捆扎应当坚固，同时标有醒目的、不易脱落的商品标志及捆重。每捆重量不超过4吨。</w:t>
      </w:r>
    </w:p>
    <w:p>
      <w:pPr>
        <w:spacing w:line="560" w:lineRule="exact"/>
        <w:ind w:firstLine="600" w:firstLineChars="200"/>
        <w:rPr>
          <w:rFonts w:eastAsia="方正仿宋简体"/>
          <w:b/>
          <w:sz w:val="30"/>
          <w:szCs w:val="30"/>
        </w:rPr>
      </w:pPr>
      <w:r>
        <w:rPr>
          <w:rFonts w:eastAsia="方正仿宋简体"/>
          <w:sz w:val="30"/>
          <w:szCs w:val="30"/>
        </w:rPr>
        <w:t>（二）到库商品中，有包装钢带断裂或者严重锈蚀的捆件及散块商品的，应当重新组合，用规定的钢带捆扎紧固后，方可用于交割。包装费用由货主承担。</w:t>
      </w:r>
    </w:p>
    <w:p>
      <w:pPr>
        <w:spacing w:line="560" w:lineRule="exact"/>
        <w:ind w:firstLine="602" w:firstLineChars="200"/>
        <w:rPr>
          <w:rFonts w:eastAsia="方正仿宋简体"/>
          <w:sz w:val="30"/>
          <w:szCs w:val="30"/>
        </w:rPr>
      </w:pPr>
      <w:bookmarkStart w:id="0" w:name="OLE_LINK442"/>
      <w:bookmarkStart w:id="1" w:name="OLE_LINK438"/>
      <w:r>
        <w:rPr>
          <w:rFonts w:eastAsia="方正仿宋简体"/>
          <w:b/>
          <w:sz w:val="30"/>
          <w:szCs w:val="30"/>
        </w:rPr>
        <w:t>第十七条</w:t>
      </w:r>
      <w:bookmarkEnd w:id="0"/>
      <w:bookmarkEnd w:id="1"/>
      <w:r>
        <w:rPr>
          <w:rFonts w:eastAsia="方正仿宋简体"/>
          <w:b/>
          <w:sz w:val="30"/>
          <w:szCs w:val="30"/>
        </w:rPr>
        <w:t xml:space="preserve">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r>
        <w:rPr>
          <w:rFonts w:hint="eastAsia" w:eastAsia="方正仿宋简体"/>
          <w:sz w:val="30"/>
          <w:szCs w:val="30"/>
        </w:rPr>
        <w:t>。</w:t>
      </w:r>
    </w:p>
    <w:p>
      <w:pPr>
        <w:spacing w:line="560" w:lineRule="exact"/>
        <w:ind w:firstLine="600" w:firstLineChars="200"/>
        <w:rPr>
          <w:rFonts w:eastAsia="方正仿宋简体"/>
          <w:b/>
          <w:sz w:val="30"/>
          <w:szCs w:val="30"/>
        </w:rPr>
      </w:pPr>
      <w:r>
        <w:rPr>
          <w:rFonts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溢短和磅差：每张标准仓单所列阴极铜的重量为25吨，溢短不超过±2%，磅差不超过±0.1%</w:t>
      </w:r>
      <w:r>
        <w:rPr>
          <w:rFonts w:hint="eastAsia" w:eastAsia="方正仿宋简体"/>
          <w:sz w:val="30"/>
          <w:szCs w:val="30"/>
        </w:rPr>
        <w:t>。</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铜期货合约的交割单位为25吨。</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铜期货合约的交割日期为最后交易日后连续二个工作日。</w:t>
      </w:r>
    </w:p>
    <w:p>
      <w:pPr>
        <w:autoSpaceDE w:val="0"/>
        <w:autoSpaceDN w:val="0"/>
        <w:adjustRightInd w:val="0"/>
        <w:spacing w:line="560" w:lineRule="exact"/>
        <w:ind w:firstLine="602" w:firstLineChars="200"/>
        <w:rPr>
          <w:rFonts w:eastAsia="方正仿宋简体"/>
          <w:b/>
          <w:sz w:val="30"/>
          <w:szCs w:val="30"/>
        </w:rPr>
      </w:pPr>
      <w:r>
        <w:rPr>
          <w:rFonts w:eastAsia="方正仿宋简体"/>
          <w:b/>
          <w:sz w:val="30"/>
          <w:szCs w:val="30"/>
        </w:rPr>
        <w:t>第二十一条</w:t>
      </w:r>
      <w:r>
        <w:rPr>
          <w:rFonts w:hint="eastAsia" w:eastAsia="方正仿宋简体"/>
          <w:b/>
          <w:sz w:val="30"/>
          <w:szCs w:val="30"/>
        </w:rPr>
        <w:t xml:space="preserve"> </w:t>
      </w:r>
      <w:r>
        <w:rPr>
          <w:rFonts w:eastAsia="方正仿宋简体"/>
          <w:sz w:val="30"/>
          <w:szCs w:val="30"/>
        </w:rPr>
        <w:t>铜期货合约交割结算的基准价为该期货合约最后交易日的结算价。</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第二十二条</w:t>
      </w:r>
      <w:r>
        <w:rPr>
          <w:rFonts w:eastAsia="方正仿宋简体"/>
          <w:color w:val="000000"/>
          <w:kern w:val="0"/>
          <w:sz w:val="30"/>
          <w:szCs w:val="30"/>
        </w:rPr>
        <w:t xml:space="preserve"> 保税标准仓单的交割结算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买方到期交割取得保税标准仓单，以当月该合约的保税交割结算价进行货款结算。当月到期合约的保税交割结算价为含税交割结算价扣除相关税费，含税交割结算价为铜期货合约最后交易日后按照现有规则产生的含税的交割结算价。保税标准仓单的交割货款根据交割数量和保税交割结算价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保税交割结算价＝［（含税交割结算价－相关费用）/（1＋进口增值税税率）－消费税］/（1＋进口关税税率）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保税交割货款＝（保税交割结算价＋保税升贴水）×保税交割数量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（二）期转现保税交割结算价的计算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期转现保税交割结算价</w:t>
      </w:r>
      <w:r>
        <w:rPr>
          <w:rFonts w:hint="eastAsia" w:eastAsia="方正仿宋简体"/>
          <w:color w:val="000000"/>
          <w:kern w:val="0"/>
          <w:sz w:val="30"/>
          <w:szCs w:val="30"/>
        </w:rPr>
        <w:t>=</w:t>
      </w:r>
      <w:r>
        <w:rPr>
          <w:rFonts w:eastAsia="方正仿宋简体"/>
          <w:color w:val="000000"/>
          <w:kern w:val="0"/>
          <w:sz w:val="30"/>
          <w:szCs w:val="30"/>
        </w:rPr>
        <w:t>［（期转现申请日前一交易日交割月份合约的结算价－相关费用）/（1＋进口增值税税率）－消费税］/（1＋进口关税税率）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期转现保税交割货款＝（期转现保税交割结算价＋保税升贴水）×保税交割数量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（三）以上公式中升贴水为考虑交割品级、品质和仓库地区分布等因素对交割结算价的调整。公式中升贴水及相关费用由交易所另行发文通知。</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遇国家税收政策调整的，交易所可对保税交割结算价的计算公式进行调整，并适时予以公布。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第二十三条</w:t>
      </w:r>
      <w:r>
        <w:rPr>
          <w:rFonts w:eastAsia="方正仿宋简体"/>
          <w:color w:val="000000"/>
          <w:kern w:val="0"/>
          <w:sz w:val="30"/>
          <w:szCs w:val="30"/>
        </w:rPr>
        <w:t xml:space="preserve"> 对实行保税交割的铜期货品种，交易所在每个合约到期后，同时公布当月合约含税交割结算价和保税交割结算价。</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交割地点：交易所交割仓库，</w:t>
      </w:r>
      <w:bookmarkStart w:id="2" w:name="_Hlk137631734"/>
      <w:r>
        <w:rPr>
          <w:rFonts w:eastAsia="方正仿宋简体"/>
          <w:sz w:val="30"/>
          <w:szCs w:val="30"/>
        </w:rPr>
        <w:t>由交易所另行公告</w:t>
      </w:r>
      <w:bookmarkEnd w:id="2"/>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pPr>
      <w:r>
        <w:rPr>
          <w:rFonts w:eastAsia="方正仿宋简体"/>
          <w:b/>
          <w:sz w:val="30"/>
          <w:szCs w:val="30"/>
        </w:rPr>
        <w:t>第二十六条</w:t>
      </w:r>
      <w:r>
        <w:rPr>
          <w:rFonts w:eastAsia="方正仿宋简体"/>
          <w:sz w:val="30"/>
          <w:szCs w:val="30"/>
        </w:rPr>
        <w:t xml:space="preserve"> 期转现使用标准仓单并通过交易所结算发生铜交割实物质量纠纷的，买方应当在货款和标准仓单交换日后的25天内提出质量异议申请，并应当同时提供交易所指定检验机构出具的质量鉴定结论。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铜期货合约的最低交易保证金为合约价值的5%。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铜期货合约上市运行不同阶段的交易保证金收取标准为：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ind w:firstLine="1445" w:firstLineChars="600"/>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铜交易保证金比例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铜期货合约涨跌停板幅度为上一交易日结算价±3%。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第三十条</w:t>
      </w:r>
      <w:r>
        <w:rPr>
          <w:rFonts w:eastAsia="方正仿宋简体"/>
          <w:sz w:val="30"/>
          <w:szCs w:val="30"/>
        </w:rPr>
        <w:t xml:space="preserve"> 铜期货合约在不同时期的限仓比例和限仓数额具体规定如下：</w:t>
      </w:r>
      <w:r>
        <w:rPr>
          <w:rFonts w:eastAsia="方正仿宋简体"/>
          <w:b/>
          <w:color w:val="FF0000"/>
          <w:sz w:val="30"/>
          <w:szCs w:val="30"/>
        </w:rPr>
        <w:t xml:space="preserve"> </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064"/>
        <w:gridCol w:w="910"/>
        <w:gridCol w:w="965"/>
        <w:gridCol w:w="1012"/>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spacing w:line="560" w:lineRule="exact"/>
              <w:jc w:val="center"/>
              <w:rPr>
                <w:rFonts w:eastAsia="方正仿宋简体"/>
                <w:bCs/>
                <w:color w:val="000000"/>
                <w:sz w:val="24"/>
              </w:rPr>
            </w:pPr>
          </w:p>
        </w:tc>
        <w:tc>
          <w:tcPr>
            <w:tcW w:w="2251" w:type="pct"/>
            <w:gridSpan w:val="3"/>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w:t>
            </w:r>
          </w:p>
          <w:p>
            <w:pPr>
              <w:spacing w:line="560" w:lineRule="exact"/>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交割月前</w:t>
            </w:r>
          </w:p>
          <w:p>
            <w:pPr>
              <w:spacing w:line="560" w:lineRule="exact"/>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某一期</w:t>
            </w:r>
          </w:p>
          <w:p>
            <w:pPr>
              <w:spacing w:line="560" w:lineRule="exact"/>
              <w:jc w:val="center"/>
              <w:rPr>
                <w:rFonts w:eastAsia="方正仿宋简体"/>
                <w:bCs/>
                <w:color w:val="000000"/>
                <w:sz w:val="24"/>
              </w:rPr>
            </w:pPr>
            <w:r>
              <w:rPr>
                <w:rFonts w:eastAsia="方正仿宋简体"/>
                <w:bCs/>
                <w:color w:val="000000"/>
                <w:sz w:val="24"/>
              </w:rPr>
              <w:t>货合约</w:t>
            </w:r>
          </w:p>
          <w:p>
            <w:pPr>
              <w:spacing w:line="560" w:lineRule="exact"/>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spacing w:line="560" w:lineRule="exact"/>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21" w:type="pct"/>
            <w:gridSpan w:val="2"/>
            <w:tcBorders>
              <w:left w:val="single" w:color="auto" w:sz="4" w:space="0"/>
            </w:tcBorders>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spacing w:line="560" w:lineRule="exact"/>
              <w:jc w:val="center"/>
              <w:rPr>
                <w:rFonts w:eastAsia="方正仿宋简体"/>
                <w:bCs/>
                <w:color w:val="000000"/>
                <w:sz w:val="24"/>
              </w:rPr>
            </w:pP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635"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544"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非期货公司</w:t>
            </w:r>
          </w:p>
          <w:p>
            <w:pPr>
              <w:spacing w:line="560" w:lineRule="exact"/>
              <w:jc w:val="center"/>
              <w:rPr>
                <w:rFonts w:eastAsia="方正仿宋简体"/>
                <w:bCs/>
                <w:color w:val="000000"/>
                <w:sz w:val="24"/>
              </w:rPr>
            </w:pPr>
            <w:r>
              <w:rPr>
                <w:rFonts w:eastAsia="方正仿宋简体"/>
                <w:bCs/>
                <w:color w:val="000000"/>
                <w:sz w:val="24"/>
              </w:rPr>
              <w:t>会员</w:t>
            </w:r>
          </w:p>
        </w:tc>
        <w:tc>
          <w:tcPr>
            <w:tcW w:w="576"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429"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铜</w:t>
            </w: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8万手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635" w:type="pct"/>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544" w:type="pct"/>
            <w:vMerge w:val="restart"/>
            <w:tcBorders>
              <w:left w:val="single" w:color="auto" w:sz="4" w:space="0"/>
            </w:tcBorders>
            <w:vAlign w:val="center"/>
          </w:tcPr>
          <w:p>
            <w:pPr>
              <w:spacing w:line="560" w:lineRule="exact"/>
              <w:ind w:firstLine="120" w:firstLineChars="50"/>
              <w:rPr>
                <w:rFonts w:eastAsia="方正仿宋简体"/>
                <w:bCs/>
                <w:color w:val="000000"/>
                <w:sz w:val="24"/>
              </w:rPr>
            </w:pPr>
            <w:r>
              <w:rPr>
                <w:rFonts w:eastAsia="方正仿宋简体"/>
                <w:bCs/>
                <w:color w:val="000000"/>
                <w:sz w:val="24"/>
              </w:rPr>
              <w:t>3000</w:t>
            </w:r>
          </w:p>
        </w:tc>
        <w:tc>
          <w:tcPr>
            <w:tcW w:w="576"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3000</w:t>
            </w:r>
          </w:p>
        </w:tc>
        <w:tc>
          <w:tcPr>
            <w:tcW w:w="605" w:type="pct"/>
            <w:vMerge w:val="restar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1000</w:t>
            </w:r>
          </w:p>
        </w:tc>
        <w:tc>
          <w:tcPr>
            <w:tcW w:w="429"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spacing w:line="560" w:lineRule="exact"/>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＜8万手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635" w:type="pct"/>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544"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576" w:type="pct"/>
            <w:vMerge w:val="continue"/>
            <w:vAlign w:val="center"/>
          </w:tcPr>
          <w:p>
            <w:pPr>
              <w:spacing w:line="560" w:lineRule="exact"/>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429" w:type="pct"/>
            <w:vMerge w:val="continue"/>
            <w:vAlign w:val="center"/>
          </w:tcPr>
          <w:p>
            <w:pPr>
              <w:spacing w:line="560" w:lineRule="exact"/>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第三十一条</w:t>
      </w:r>
      <w:r>
        <w:rPr>
          <w:rFonts w:hint="eastAsia" w:eastAsia="方正仿宋简体"/>
          <w:b/>
          <w:sz w:val="30"/>
          <w:szCs w:val="30"/>
        </w:rPr>
        <w:t xml:space="preserve"> </w:t>
      </w:r>
      <w:r>
        <w:rPr>
          <w:rFonts w:hint="eastAsia" w:eastAsia="方正仿宋简体"/>
          <w:sz w:val="30"/>
          <w:szCs w:val="30"/>
        </w:rPr>
        <w:t>交割月前第一月的最后一个交易日收盘前，交易者（即客户、非期货公司会员，下同）在每个交易编码上的铜期货合约的一般持仓应当调整为5手的整倍数（遇市场特殊情况无法按期调整的，可以顺延一天）；进入交割月后，铜期货合约一般持仓应当是5手的整倍数，新开仓、平仓也应当是5手的整倍数。</w:t>
      </w:r>
    </w:p>
    <w:p>
      <w:pPr>
        <w:spacing w:line="560" w:lineRule="exact"/>
        <w:ind w:firstLine="602" w:firstLineChars="200"/>
        <w:rPr>
          <w:rFonts w:eastAsia="方正仿宋简体"/>
          <w:sz w:val="30"/>
          <w:szCs w:val="30"/>
        </w:rPr>
      </w:pPr>
      <w:r>
        <w:rPr>
          <w:rFonts w:eastAsia="方正仿宋简体"/>
          <w:b/>
          <w:sz w:val="30"/>
          <w:szCs w:val="30"/>
        </w:rPr>
        <w:t>第三十二条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铜</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该铜期货合约的单位净持仓亏损大于或者等于强制减仓基准日结算价6%的所有申报平仓数量的总和为平仓数量。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（三）平</w:t>
      </w:r>
      <w:r>
        <w:rPr>
          <w:rFonts w:eastAsia="方正仿宋简体"/>
          <w:sz w:val="30"/>
          <w:szCs w:val="30"/>
        </w:rPr>
        <w:t>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r>
        <w:rPr>
          <w:rFonts w:hint="eastAsia" w:eastAsia="方正仿宋简体"/>
          <w:sz w:val="30"/>
          <w:szCs w:val="30"/>
        </w:rPr>
        <w:t>。</w:t>
      </w:r>
    </w:p>
    <w:p>
      <w:pPr>
        <w:spacing w:line="560" w:lineRule="exact"/>
        <w:ind w:firstLine="600" w:firstLineChars="200"/>
        <w:rPr>
          <w:rFonts w:eastAsia="方正仿宋简体"/>
          <w:color w:val="000000"/>
          <w:sz w:val="30"/>
          <w:szCs w:val="30"/>
        </w:rPr>
      </w:pPr>
      <w:r>
        <w:rPr>
          <w:rFonts w:eastAsia="方正仿宋简体"/>
          <w:sz w:val="30"/>
          <w:szCs w:val="30"/>
        </w:rPr>
        <w:t>（四）平仓数量的分配方法。盈利6%以上的</w:t>
      </w:r>
      <w:r>
        <w:rPr>
          <w:rFonts w:hint="eastAsia" w:eastAsia="方正仿宋简体"/>
          <w:sz w:val="30"/>
          <w:szCs w:val="30"/>
        </w:rPr>
        <w:t>一般</w:t>
      </w:r>
      <w:r>
        <w:rPr>
          <w:rFonts w:eastAsia="方正仿宋简体"/>
          <w:sz w:val="30"/>
          <w:szCs w:val="30"/>
        </w:rPr>
        <w:t>持仓数</w:t>
      </w:r>
      <w:r>
        <w:rPr>
          <w:rFonts w:eastAsia="方正仿宋简体"/>
          <w:color w:val="000000"/>
          <w:sz w:val="30"/>
          <w:szCs w:val="30"/>
        </w:rPr>
        <w:t>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w:t>
      </w:r>
      <w:r>
        <w:rPr>
          <w:rFonts w:eastAsia="方正仿宋简体"/>
          <w:color w:val="000000"/>
          <w:sz w:val="30"/>
          <w:szCs w:val="30"/>
        </w:rPr>
        <w:t>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第三十六条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上海期货交易所铝期货业务细则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方正黑体简体"/>
          <w:sz w:val="30"/>
          <w:szCs w:val="30"/>
        </w:rPr>
      </w:pPr>
    </w:p>
    <w:p>
      <w:pPr>
        <w:spacing w:line="560" w:lineRule="exact"/>
        <w:jc w:val="center"/>
        <w:rPr>
          <w:rFonts w:eastAsia="方正黑体简体"/>
          <w:sz w:val="30"/>
          <w:szCs w:val="30"/>
        </w:rPr>
      </w:pPr>
      <w:r>
        <w:rPr>
          <w:rFonts w:eastAsia="方正黑体简体"/>
          <w:sz w:val="30"/>
          <w:szCs w:val="30"/>
        </w:rPr>
        <w:t>第一章</w:t>
      </w:r>
      <w:r>
        <w:rPr>
          <w:rFonts w:hint="eastAsia" w:eastAsia="方正黑体简体"/>
          <w:sz w:val="30"/>
          <w:szCs w:val="30"/>
        </w:rPr>
        <w:t xml:space="preserve"> </w:t>
      </w:r>
      <w:r>
        <w:rPr>
          <w:rFonts w:eastAsia="方正黑体简体"/>
          <w:sz w:val="30"/>
          <w:szCs w:val="30"/>
        </w:rPr>
        <w:t>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为了规范上海期货交易所（以下简称交易所）铝期货相关业务，根据《上海期货交易所交易规则》《上海期货交易所铝期货合约》以及相关业务规则，制定本细则。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铝期货合约的交易单位为5吨/手。</w:t>
      </w:r>
    </w:p>
    <w:p>
      <w:pPr>
        <w:spacing w:line="56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铝期货合约的报价单位为元（人民币）/吨。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铝期货合约的最小变动价位为5元/吨。</w:t>
      </w:r>
    </w:p>
    <w:p>
      <w:pPr>
        <w:spacing w:line="560" w:lineRule="exact"/>
        <w:ind w:firstLine="602" w:firstLineChars="200"/>
        <w:rPr>
          <w:rFonts w:eastAsia="方正仿宋简体"/>
          <w:b/>
          <w:sz w:val="30"/>
          <w:szCs w:val="30"/>
        </w:rPr>
      </w:pPr>
      <w:r>
        <w:rPr>
          <w:rFonts w:eastAsia="方正仿宋简体"/>
          <w:b/>
          <w:sz w:val="30"/>
          <w:szCs w:val="30"/>
        </w:rPr>
        <w:t xml:space="preserve">第六条 </w:t>
      </w:r>
      <w:r>
        <w:rPr>
          <w:rFonts w:eastAsia="方正仿宋简体"/>
          <w:sz w:val="30"/>
          <w:szCs w:val="30"/>
        </w:rPr>
        <w:t>铝期货合约月份为1~12月。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铝期货合约的交易时间为上午9:00~11:30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铝期货合约的最后交易日为合约月份的15日，遇国家法定节假日顺延，春节月份等最后交易日交易所可另行调整并通知。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铝期货合约的交易代码为AL。</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铝期货套期保值交易</w:t>
      </w:r>
      <w:r>
        <w:rPr>
          <w:rFonts w:hint="eastAsia" w:eastAsia="方正仿宋简体"/>
          <w:sz w:val="30"/>
          <w:szCs w:val="30"/>
        </w:rPr>
        <w:t>持仓</w:t>
      </w:r>
      <w:r>
        <w:rPr>
          <w:rFonts w:eastAsia="方正仿宋简体"/>
          <w:sz w:val="30"/>
          <w:szCs w:val="30"/>
        </w:rPr>
        <w:t>额度和套利交易</w:t>
      </w:r>
      <w:r>
        <w:rPr>
          <w:rFonts w:hint="eastAsia" w:eastAsia="方正仿宋简体"/>
          <w:sz w:val="30"/>
          <w:szCs w:val="30"/>
        </w:rPr>
        <w:t>持仓</w:t>
      </w:r>
      <w:r>
        <w:rPr>
          <w:rFonts w:eastAsia="方正仿宋简体"/>
          <w:sz w:val="30"/>
          <w:szCs w:val="30"/>
        </w:rPr>
        <w:t>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铝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b/>
          <w:sz w:val="30"/>
          <w:szCs w:val="30"/>
        </w:rPr>
      </w:pPr>
      <w:r>
        <w:rPr>
          <w:rFonts w:eastAsia="方正仿宋简体"/>
          <w:sz w:val="30"/>
          <w:szCs w:val="30"/>
        </w:rPr>
        <w:t>铝期货临近交割月份套期保值交易</w:t>
      </w:r>
      <w:r>
        <w:rPr>
          <w:rFonts w:hint="eastAsia" w:eastAsia="方正仿宋简体"/>
          <w:sz w:val="30"/>
          <w:szCs w:val="30"/>
        </w:rPr>
        <w:t>持仓</w:t>
      </w:r>
      <w:r>
        <w:rPr>
          <w:rFonts w:eastAsia="方正仿宋简体"/>
          <w:sz w:val="30"/>
          <w:szCs w:val="30"/>
        </w:rPr>
        <w:t>额度的申请应当在该套期保值所涉合约交割月前第</w:t>
      </w:r>
      <w:r>
        <w:rPr>
          <w:rFonts w:hint="eastAsia" w:eastAsia="方正仿宋简体"/>
          <w:bCs/>
          <w:sz w:val="30"/>
          <w:szCs w:val="30"/>
        </w:rPr>
        <w:t>二</w:t>
      </w:r>
      <w:r>
        <w:rPr>
          <w:rFonts w:eastAsia="方正仿宋简体"/>
          <w:sz w:val="30"/>
          <w:szCs w:val="30"/>
        </w:rPr>
        <w:t>月的第一个交易日至交割月前第一月的最后一个交易日之间提出，逾期交易所不再受理；铝期货临近交割月份套利交易</w:t>
      </w:r>
      <w:r>
        <w:rPr>
          <w:rFonts w:hint="eastAsia" w:eastAsia="方正仿宋简体"/>
          <w:sz w:val="30"/>
          <w:szCs w:val="30"/>
        </w:rPr>
        <w:t>持仓</w:t>
      </w:r>
      <w:r>
        <w:rPr>
          <w:rFonts w:eastAsia="方正仿宋简体"/>
          <w:sz w:val="30"/>
          <w:szCs w:val="30"/>
        </w:rPr>
        <w:t>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第十二条 </w:t>
      </w:r>
      <w:r>
        <w:rPr>
          <w:rFonts w:eastAsia="方正仿宋简体"/>
          <w:sz w:val="30"/>
          <w:szCs w:val="30"/>
        </w:rPr>
        <w:t>铝期货套期保值交易</w:t>
      </w:r>
      <w:r>
        <w:rPr>
          <w:rFonts w:hint="eastAsia" w:eastAsia="方正仿宋简体"/>
          <w:sz w:val="30"/>
          <w:szCs w:val="30"/>
        </w:rPr>
        <w:t>持仓</w:t>
      </w:r>
      <w:r>
        <w:rPr>
          <w:rFonts w:eastAsia="方正仿宋简体"/>
          <w:sz w:val="30"/>
          <w:szCs w:val="30"/>
        </w:rPr>
        <w:t>额度自交割月份第一交易日起不得重复使用。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铝期货适用期货转现货、仓库交割。</w:t>
      </w:r>
    </w:p>
    <w:p>
      <w:pPr>
        <w:spacing w:line="560" w:lineRule="exact"/>
        <w:ind w:firstLine="600" w:firstLineChars="200"/>
        <w:rPr>
          <w:rFonts w:eastAsia="方正仿宋简体"/>
          <w:b/>
          <w:sz w:val="30"/>
          <w:szCs w:val="30"/>
        </w:rPr>
      </w:pPr>
      <w:r>
        <w:rPr>
          <w:rFonts w:eastAsia="方正仿宋简体"/>
          <w:sz w:val="30"/>
          <w:szCs w:val="30"/>
        </w:rPr>
        <w:t>铝期货实行完税交割、保税交割。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铝期货交割品级详见《上海期货交易所铝期货合约》。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铝期货交割商品应当是交易所注册的生产企业生产的注册商标的商品。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商品的包装：每一交割单位的铝锭应当是同一生产企业生产、同一注册商标、同一质量品级、同一块形、同一包装数量（捆重近似）的商品组成。注册生产企业自行选定注册产品捆重，但要利于组手。每捆包装采用30-32*0.9-1.0mm 表面作防锈处理的钢带井字形捆扎，捆扎应当坚固，同时标有醒目的、不易脱落的产品商品标志、生产炉批编号及捆重。每捆重量不超过2吨。</w:t>
      </w:r>
    </w:p>
    <w:p>
      <w:pPr>
        <w:spacing w:line="560" w:lineRule="exact"/>
        <w:ind w:firstLine="600" w:firstLineChars="2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pPr>
        <w:autoSpaceDE w:val="0"/>
        <w:autoSpaceDN w:val="0"/>
        <w:adjustRightInd w:val="0"/>
        <w:spacing w:line="560" w:lineRule="exact"/>
        <w:ind w:firstLine="600" w:firstLineChars="200"/>
        <w:rPr>
          <w:rFonts w:eastAsia="方正仿宋简体"/>
          <w:b/>
          <w:sz w:val="30"/>
          <w:szCs w:val="30"/>
        </w:rPr>
      </w:pPr>
      <w:r>
        <w:rPr>
          <w:rFonts w:eastAsia="方正仿宋简体"/>
          <w:sz w:val="30"/>
          <w:szCs w:val="30"/>
        </w:rPr>
        <w:t>（三）国产铝每锭重量为15KG±2KG、20KG±2KG或25KG±2KG。进口铝的形状应当为锭，每锭重量在12KG到26KG之间。</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b/>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溢短和磅差：每张标准仓单所列铝锭的重量为25 吨，溢短不超过±2%，磅差不超过±0.1%。</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第十九条 </w:t>
      </w:r>
      <w:r>
        <w:rPr>
          <w:rFonts w:eastAsia="方正仿宋简体"/>
          <w:color w:val="000000"/>
          <w:sz w:val="30"/>
          <w:szCs w:val="30"/>
        </w:rPr>
        <w:t>铝期货合约的交割单位为25吨。</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第二十条 </w:t>
      </w:r>
      <w:r>
        <w:rPr>
          <w:rFonts w:eastAsia="方正仿宋简体"/>
          <w:color w:val="000000"/>
          <w:sz w:val="30"/>
          <w:szCs w:val="30"/>
        </w:rPr>
        <w:t>铝期货合约的交割日期为最后交易日后连续二个工作日。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 xml:space="preserve">第二十一条 </w:t>
      </w:r>
      <w:r>
        <w:rPr>
          <w:rFonts w:eastAsia="方正仿宋简体"/>
          <w:sz w:val="30"/>
          <w:szCs w:val="30"/>
        </w:rPr>
        <w:t>铝期货合约交割结算的基准价为该期货合约最后交易日的结算价。</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第二十二条</w:t>
      </w:r>
      <w:r>
        <w:rPr>
          <w:rFonts w:eastAsia="方正仿宋简体"/>
          <w:color w:val="000000"/>
          <w:kern w:val="0"/>
          <w:sz w:val="30"/>
          <w:szCs w:val="30"/>
        </w:rPr>
        <w:t xml:space="preserve"> 保税标准仓单的交割结算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买方到期交割取得保税标准仓单，以当月该合约的保税交割结算价进行货款结算。当月到期合约的保税交割结算价为含税交割结算价扣除相关税费，含税交割结算价为铝期货合约最后交易日后按照现有规则产生的含税的交割结算价。保税标准仓单的交割货款根据交割数量和保税交割结算价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保税交割结算价＝［（含税交割结算价－相关费用）/（1＋进口增值税税率）－消费税］/（1＋进口关税税率）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保税交割货款＝（保税交割结算价＋保税升贴水）×保税交割数量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（二）期转现保税交割结算价的计算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期转现保税交割结算价</w:t>
      </w:r>
      <w:r>
        <w:rPr>
          <w:rFonts w:hint="eastAsia" w:eastAsia="方正仿宋简体"/>
          <w:color w:val="000000"/>
          <w:kern w:val="0"/>
          <w:sz w:val="30"/>
          <w:szCs w:val="30"/>
        </w:rPr>
        <w:t>=</w:t>
      </w:r>
      <w:r>
        <w:rPr>
          <w:rFonts w:eastAsia="方正仿宋简体"/>
          <w:color w:val="000000"/>
          <w:kern w:val="0"/>
          <w:sz w:val="30"/>
          <w:szCs w:val="30"/>
        </w:rPr>
        <w:t>［（期转现申请日前一交易日交割月份合约的结算价－相关费用）/（1＋进口增值税税率）－消费税］/（1＋进口关税税率）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期转现保税交割货款＝（期转现保税交割结算价＋保税升贴水）×保税交割数量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（三）以上公式中升贴水为考虑交割品级、品质和仓库地区分布等因素对交割结算价的调整。公式中升贴水及相关费用由交易所另行发文通知。</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遇国家税收政策调整的，交易所可对保税交割结算价的计算公式进行调整，并适时予以公布。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第二十三条</w:t>
      </w:r>
      <w:r>
        <w:rPr>
          <w:rFonts w:eastAsia="方正仿宋简体"/>
          <w:color w:val="000000"/>
          <w:kern w:val="0"/>
          <w:sz w:val="30"/>
          <w:szCs w:val="30"/>
        </w:rPr>
        <w:t xml:space="preserve"> 对实行保税交割的铝期货品种，交易所在每个合约到期后，同时公布当月合约含税交割结算价和保税交割结算价。</w:t>
      </w:r>
    </w:p>
    <w:p>
      <w:pPr>
        <w:autoSpaceDE w:val="0"/>
        <w:autoSpaceDN w:val="0"/>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 xml:space="preserve">第二十四条 </w:t>
      </w:r>
      <w:r>
        <w:rPr>
          <w:rFonts w:eastAsia="方正仿宋简体"/>
          <w:color w:val="000000"/>
          <w:kern w:val="0"/>
          <w:sz w:val="30"/>
          <w:szCs w:val="30"/>
        </w:rPr>
        <w:t>交割地点：交易所交割仓库，由交易所另行公告。</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sz w:val="30"/>
          <w:szCs w:val="30"/>
        </w:rPr>
      </w:pPr>
      <w:r>
        <w:rPr>
          <w:rFonts w:eastAsia="方正仿宋简体"/>
          <w:b/>
          <w:color w:val="000000"/>
          <w:kern w:val="0"/>
          <w:sz w:val="30"/>
          <w:szCs w:val="30"/>
        </w:rPr>
        <w:t xml:space="preserve">第二十六条 </w:t>
      </w:r>
      <w:r>
        <w:rPr>
          <w:rFonts w:eastAsia="方正仿宋简体"/>
          <w:color w:val="000000"/>
          <w:kern w:val="0"/>
          <w:sz w:val="30"/>
          <w:szCs w:val="30"/>
        </w:rPr>
        <w:t>期转现使用标准仓单并通过交易所结算发生铝交割实物质量纠纷的，买方应当在货款和标准仓单交换日后的25天内提出质量异议申请，并应当同时提供交易所指定检验机构出具的质量鉴定结论。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铝期货合约的最低交易保证金为合约价值的5%。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铝期货合约上市运行不同阶段的交易保证金收取标准为：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铝交易保证金比例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铝期货合约涨跌停板幅度为上一交易日结算价±3%。</w:t>
      </w:r>
    </w:p>
    <w:p>
      <w:pPr>
        <w:spacing w:line="560" w:lineRule="exact"/>
        <w:ind w:firstLine="602" w:firstLineChars="200"/>
        <w:rPr>
          <w:rFonts w:eastAsia="方正仿宋简体"/>
          <w:bCs/>
          <w:color w:val="000000"/>
          <w:sz w:val="30"/>
          <w:szCs w:val="30"/>
        </w:rPr>
      </w:pPr>
      <w:r>
        <w:rPr>
          <w:rFonts w:eastAsia="方正仿宋简体"/>
          <w:b/>
          <w:sz w:val="30"/>
          <w:szCs w:val="30"/>
        </w:rPr>
        <w:t xml:space="preserve">第三十条 </w:t>
      </w:r>
      <w:r>
        <w:rPr>
          <w:rFonts w:eastAsia="方正仿宋简体"/>
          <w:sz w:val="30"/>
          <w:szCs w:val="30"/>
        </w:rPr>
        <w:t>铝期货合约在不同时期的限仓比例和限仓数额具体规定如下：</w:t>
      </w:r>
    </w:p>
    <w:p>
      <w:pPr>
        <w:spacing w:line="560" w:lineRule="exact"/>
        <w:jc w:val="left"/>
        <w:rPr>
          <w:rFonts w:eastAsia="方正仿宋简体"/>
          <w:bCs/>
          <w:color w:val="000000"/>
          <w:sz w:val="30"/>
          <w:szCs w:val="30"/>
        </w:rPr>
      </w:pPr>
      <w:r>
        <w:rPr>
          <w:rFonts w:eastAsia="方正仿宋简体"/>
          <w:bCs/>
          <w:color w:val="000000"/>
          <w:sz w:val="30"/>
          <w:szCs w:val="30"/>
        </w:rPr>
        <w:t>（单位：手）</w:t>
      </w:r>
    </w:p>
    <w:tbl>
      <w:tblPr>
        <w:tblStyle w:val="4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spacing w:line="560" w:lineRule="exact"/>
              <w:jc w:val="center"/>
              <w:rPr>
                <w:rFonts w:eastAsia="方正仿宋简体"/>
                <w:bCs/>
                <w:color w:val="000000"/>
                <w:sz w:val="24"/>
              </w:rPr>
            </w:pPr>
          </w:p>
        </w:tc>
        <w:tc>
          <w:tcPr>
            <w:tcW w:w="2273" w:type="pct"/>
            <w:gridSpan w:val="3"/>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w:t>
            </w:r>
          </w:p>
          <w:p>
            <w:pPr>
              <w:spacing w:line="560" w:lineRule="exact"/>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交割月前</w:t>
            </w:r>
          </w:p>
          <w:p>
            <w:pPr>
              <w:spacing w:line="560" w:lineRule="exact"/>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某一期</w:t>
            </w:r>
          </w:p>
          <w:p>
            <w:pPr>
              <w:spacing w:line="560" w:lineRule="exact"/>
              <w:jc w:val="center"/>
              <w:rPr>
                <w:rFonts w:eastAsia="方正仿宋简体"/>
                <w:bCs/>
                <w:color w:val="000000"/>
                <w:sz w:val="24"/>
              </w:rPr>
            </w:pPr>
            <w:r>
              <w:rPr>
                <w:rFonts w:eastAsia="方正仿宋简体"/>
                <w:bCs/>
                <w:color w:val="000000"/>
                <w:sz w:val="24"/>
              </w:rPr>
              <w:t>货合约</w:t>
            </w:r>
          </w:p>
          <w:p>
            <w:pPr>
              <w:spacing w:line="560" w:lineRule="exact"/>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spacing w:line="560" w:lineRule="exact"/>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099" w:type="pct"/>
            <w:gridSpan w:val="2"/>
            <w:tcBorders>
              <w:left w:val="single" w:color="auto" w:sz="4" w:space="0"/>
            </w:tcBorders>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spacing w:line="560" w:lineRule="exact"/>
              <w:jc w:val="center"/>
              <w:rPr>
                <w:rFonts w:eastAsia="方正仿宋简体"/>
                <w:bCs/>
                <w:color w:val="000000"/>
                <w:sz w:val="24"/>
              </w:rPr>
            </w:pP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657"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52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非期货公司</w:t>
            </w:r>
          </w:p>
          <w:p>
            <w:pPr>
              <w:spacing w:line="560" w:lineRule="exact"/>
              <w:jc w:val="center"/>
              <w:rPr>
                <w:rFonts w:eastAsia="方正仿宋简体"/>
                <w:bCs/>
                <w:color w:val="000000"/>
                <w:sz w:val="24"/>
              </w:rPr>
            </w:pPr>
            <w:r>
              <w:rPr>
                <w:rFonts w:eastAsia="方正仿宋简体"/>
                <w:bCs/>
                <w:color w:val="000000"/>
                <w:sz w:val="24"/>
              </w:rPr>
              <w:t>会员</w:t>
            </w:r>
          </w:p>
        </w:tc>
        <w:tc>
          <w:tcPr>
            <w:tcW w:w="576"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429"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铝</w:t>
            </w: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10万手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657" w:type="pct"/>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color="auto" w:sz="4" w:space="0"/>
            </w:tcBorders>
            <w:vAlign w:val="center"/>
          </w:tcPr>
          <w:p>
            <w:pPr>
              <w:spacing w:line="560" w:lineRule="exact"/>
              <w:ind w:firstLine="120" w:firstLineChars="50"/>
              <w:rPr>
                <w:rFonts w:eastAsia="方正仿宋简体"/>
                <w:bCs/>
                <w:color w:val="000000"/>
                <w:sz w:val="24"/>
              </w:rPr>
            </w:pPr>
            <w:r>
              <w:rPr>
                <w:rFonts w:eastAsia="方正仿宋简体"/>
                <w:bCs/>
                <w:color w:val="000000"/>
                <w:sz w:val="24"/>
              </w:rPr>
              <w:t>3000</w:t>
            </w:r>
          </w:p>
        </w:tc>
        <w:tc>
          <w:tcPr>
            <w:tcW w:w="576"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3000</w:t>
            </w:r>
          </w:p>
        </w:tc>
        <w:tc>
          <w:tcPr>
            <w:tcW w:w="605" w:type="pct"/>
            <w:vMerge w:val="restar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1000</w:t>
            </w:r>
          </w:p>
        </w:tc>
        <w:tc>
          <w:tcPr>
            <w:tcW w:w="429"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spacing w:line="560" w:lineRule="exact"/>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10000</w:t>
            </w:r>
          </w:p>
        </w:tc>
        <w:tc>
          <w:tcPr>
            <w:tcW w:w="657" w:type="pct"/>
            <w:vAlign w:val="center"/>
          </w:tcPr>
          <w:p>
            <w:pPr>
              <w:spacing w:line="560" w:lineRule="exact"/>
              <w:jc w:val="center"/>
              <w:rPr>
                <w:rFonts w:eastAsia="方正仿宋简体"/>
                <w:bCs/>
                <w:color w:val="000000"/>
                <w:sz w:val="24"/>
              </w:rPr>
            </w:pPr>
            <w:r>
              <w:rPr>
                <w:rFonts w:eastAsia="方正仿宋简体"/>
                <w:bCs/>
                <w:color w:val="000000"/>
                <w:sz w:val="24"/>
              </w:rPr>
              <w:t>10000</w:t>
            </w:r>
          </w:p>
        </w:tc>
        <w:tc>
          <w:tcPr>
            <w:tcW w:w="523"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576" w:type="pct"/>
            <w:vMerge w:val="continue"/>
            <w:vAlign w:val="center"/>
          </w:tcPr>
          <w:p>
            <w:pPr>
              <w:spacing w:line="560" w:lineRule="exact"/>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429" w:type="pct"/>
            <w:vMerge w:val="continue"/>
            <w:vAlign w:val="center"/>
          </w:tcPr>
          <w:p>
            <w:pPr>
              <w:spacing w:line="560" w:lineRule="exact"/>
              <w:jc w:val="center"/>
              <w:rPr>
                <w:rFonts w:eastAsia="方正仿宋简体"/>
                <w:bCs/>
                <w:dstrike/>
                <w:color w:val="000000"/>
                <w:sz w:val="24"/>
                <w:shd w:val="pct10" w:color="auto" w:fill="FFFFFF"/>
              </w:rPr>
            </w:pPr>
          </w:p>
        </w:tc>
      </w:tr>
    </w:tbl>
    <w:p>
      <w:pPr>
        <w:spacing w:line="560" w:lineRule="exact"/>
        <w:ind w:firstLine="600" w:firstLineChars="200"/>
        <w:rPr>
          <w:rFonts w:eastAsia="方正仿宋简体"/>
          <w:bCs/>
          <w:color w:val="000000"/>
          <w:sz w:val="30"/>
          <w:szCs w:val="30"/>
        </w:rPr>
      </w:pPr>
      <w:r>
        <w:rPr>
          <w:rFonts w:eastAsia="方正仿宋简体"/>
          <w:bCs/>
          <w:color w:val="000000"/>
          <w:sz w:val="30"/>
          <w:szCs w:val="30"/>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铝期货合约的</w:t>
      </w:r>
      <w:r>
        <w:rPr>
          <w:rFonts w:hint="eastAsia" w:eastAsia="方正仿宋简体"/>
          <w:sz w:val="30"/>
          <w:szCs w:val="30"/>
        </w:rPr>
        <w:t>一般</w:t>
      </w:r>
      <w:r>
        <w:rPr>
          <w:rFonts w:eastAsia="方正仿宋简体"/>
          <w:sz w:val="30"/>
          <w:szCs w:val="30"/>
        </w:rPr>
        <w:t>持仓应当调整为5手的整倍数（遇市场特殊情况无法按期调整的，可以顺延一天）</w:t>
      </w:r>
      <w:r>
        <w:rPr>
          <w:rFonts w:hint="eastAsia" w:eastAsia="方正仿宋简体"/>
          <w:sz w:val="30"/>
          <w:szCs w:val="30"/>
        </w:rPr>
        <w:t>；</w:t>
      </w:r>
      <w:r>
        <w:rPr>
          <w:rFonts w:eastAsia="方正仿宋简体"/>
          <w:sz w:val="30"/>
          <w:szCs w:val="30"/>
        </w:rPr>
        <w:t>进入交割月后，铝期货合约</w:t>
      </w:r>
      <w:r>
        <w:rPr>
          <w:rFonts w:hint="eastAsia" w:eastAsia="方正仿宋简体"/>
          <w:sz w:val="30"/>
          <w:szCs w:val="30"/>
        </w:rPr>
        <w:t>一般</w:t>
      </w:r>
      <w:r>
        <w:rPr>
          <w:rFonts w:eastAsia="方正仿宋简体"/>
          <w:sz w:val="30"/>
          <w:szCs w:val="30"/>
        </w:rPr>
        <w:t>持仓应当是5手的整倍数，新开仓、平仓也应当是5手的整倍数。</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交易所对某一铝期货合约采取强制减仓的，其申报平仓数量、</w:t>
      </w:r>
      <w:r>
        <w:rPr>
          <w:rFonts w:eastAsia="方正仿宋简体"/>
          <w:color w:val="000000"/>
          <w:sz w:val="30"/>
          <w:szCs w:val="30"/>
        </w:rPr>
        <w:t>持仓盈</w:t>
      </w:r>
      <w:r>
        <w:rPr>
          <w:rFonts w:eastAsia="方正仿宋简体"/>
          <w:sz w:val="30"/>
          <w:szCs w:val="30"/>
        </w:rPr>
        <w:t>利</w:t>
      </w:r>
      <w:r>
        <w:rPr>
          <w:rFonts w:hint="eastAsia" w:eastAsia="方正仿宋简体"/>
          <w:sz w:val="30"/>
          <w:szCs w:val="30"/>
        </w:rPr>
        <w:t>交易者</w:t>
      </w:r>
      <w:r>
        <w:rPr>
          <w:rFonts w:eastAsia="方正仿宋简体"/>
          <w:sz w:val="30"/>
          <w:szCs w:val="30"/>
        </w:rPr>
        <w:t>平</w:t>
      </w:r>
      <w:r>
        <w:rPr>
          <w:rFonts w:eastAsia="方正仿宋简体"/>
          <w:color w:val="000000"/>
          <w:sz w:val="30"/>
          <w:szCs w:val="30"/>
        </w:rPr>
        <w:t>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w:t>
      </w:r>
      <w:r>
        <w:rPr>
          <w:rFonts w:eastAsia="方正仿宋简体"/>
          <w:color w:val="000000"/>
          <w:sz w:val="30"/>
          <w:szCs w:val="30"/>
        </w:rPr>
        <w:t>成交的，且</w:t>
      </w:r>
      <w:r>
        <w:rPr>
          <w:rFonts w:hint="eastAsia" w:eastAsia="方正仿宋简体"/>
          <w:color w:val="000000"/>
          <w:sz w:val="30"/>
          <w:szCs w:val="30"/>
        </w:rPr>
        <w:t>交易者</w:t>
      </w:r>
      <w:r>
        <w:rPr>
          <w:rFonts w:eastAsia="方正仿宋简体"/>
          <w:color w:val="000000"/>
          <w:sz w:val="30"/>
          <w:szCs w:val="30"/>
        </w:rPr>
        <w:t>该铝期货合约的单位净持仓亏损大于或者等于强制减仓基准日结算价6%的所有申报平仓数量的总和为平仓数量。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单位净持仓盈利大于或者等于强制减仓基准日结算价6%的套期保值交易持仓都列入平仓范围。</w:t>
      </w:r>
    </w:p>
    <w:p>
      <w:pPr>
        <w:autoSpaceDE w:val="0"/>
        <w:autoSpaceDN w:val="0"/>
        <w:adjustRightInd w:val="0"/>
        <w:spacing w:line="560" w:lineRule="exact"/>
        <w:ind w:firstLine="600" w:firstLineChars="200"/>
        <w:jc w:val="left"/>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autoSpaceDE w:val="0"/>
        <w:autoSpaceDN w:val="0"/>
        <w:adjustRightInd w:val="0"/>
        <w:spacing w:line="560" w:lineRule="exact"/>
        <w:ind w:firstLine="600" w:firstLineChars="200"/>
        <w:jc w:val="left"/>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第三十六条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上海期货交易所锌期货业务细则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bCs/>
          <w:sz w:val="28"/>
          <w:szCs w:val="30"/>
        </w:rPr>
      </w:pPr>
    </w:p>
    <w:p>
      <w:pPr>
        <w:spacing w:line="560" w:lineRule="exact"/>
        <w:jc w:val="center"/>
        <w:rPr>
          <w:rFonts w:eastAsia="方正黑体简体"/>
          <w:sz w:val="30"/>
          <w:szCs w:val="30"/>
        </w:rPr>
      </w:pPr>
      <w:r>
        <w:rPr>
          <w:rFonts w:eastAsia="方正黑体简体"/>
          <w:sz w:val="30"/>
          <w:szCs w:val="30"/>
        </w:rPr>
        <w:t>第一章</w:t>
      </w:r>
      <w:r>
        <w:rPr>
          <w:rFonts w:hint="eastAsia" w:eastAsia="方正黑体简体"/>
          <w:sz w:val="30"/>
          <w:szCs w:val="30"/>
        </w:rPr>
        <w:t xml:space="preserve"> </w:t>
      </w:r>
      <w:r>
        <w:rPr>
          <w:rFonts w:eastAsia="方正黑体简体"/>
          <w:sz w:val="30"/>
          <w:szCs w:val="30"/>
        </w:rPr>
        <w:t>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为了规范上海期货交易所（以下简称交易所）锌期货相关业务，根据《上海期货交易所交易规则》《上海期货交易所锌期货合约》以及相关业务规则，制定本细则。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锌期货合约的交易单位为5吨/手。</w:t>
      </w:r>
    </w:p>
    <w:p>
      <w:pPr>
        <w:spacing w:line="360" w:lineRule="auto"/>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锌期货合约的报价单位为元（人民币）/吨。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锌期货合约的最小变动价位为5元/吨。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锌期货合约月份为1~12月。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锌期货合约的交易时间为上午9:00~11:30，下午1:30~3:00和交易所规定的其他交易时间。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锌期货合约的最后交易日为合约月份的15日，遇国家法定节假日顺延，春节月份等最后交易日交易所可另行调整并通知。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锌期货合约的交易代码为ZN。</w:t>
      </w:r>
    </w:p>
    <w:p>
      <w:pPr>
        <w:spacing w:line="560" w:lineRule="exact"/>
        <w:ind w:firstLine="602" w:firstLineChars="200"/>
        <w:rPr>
          <w:rFonts w:eastAsia="方正仿宋简体"/>
          <w:b/>
          <w:color w:val="FF0000"/>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锌期货套期保值交易持仓额度和套利交易持仓额度，所涉的一般月份是指合约挂牌至交割月前第二月的最后一个交易日，所涉的临近交割月份是指交割月前第一月和交割月份。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锌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sz w:val="30"/>
          <w:szCs w:val="30"/>
        </w:rPr>
        <w:t>锌</w:t>
      </w:r>
      <w:r>
        <w:rPr>
          <w:rFonts w:eastAsia="方正仿宋简体"/>
          <w:sz w:val="30"/>
          <w:szCs w:val="30"/>
        </w:rPr>
        <w:t>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bCs/>
          <w:sz w:val="30"/>
          <w:szCs w:val="30"/>
        </w:rPr>
        <w:t>二</w:t>
      </w:r>
      <w:r>
        <w:rPr>
          <w:rFonts w:eastAsia="方正仿宋简体"/>
          <w:sz w:val="30"/>
          <w:szCs w:val="30"/>
        </w:rPr>
        <w:t>月的第一个交易日至交割月前第一月的最后一个交易日之间提出，逾期交易所不再受理；</w:t>
      </w:r>
      <w:r>
        <w:rPr>
          <w:rFonts w:hint="eastAsia" w:eastAsia="方正仿宋简体"/>
          <w:sz w:val="30"/>
          <w:szCs w:val="30"/>
        </w:rPr>
        <w:t>锌</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锌</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锌期货适用期货转现货、仓库交割。</w:t>
      </w:r>
    </w:p>
    <w:p>
      <w:pPr>
        <w:spacing w:line="560" w:lineRule="exact"/>
        <w:ind w:firstLine="600" w:firstLineChars="200"/>
        <w:rPr>
          <w:rFonts w:eastAsia="方正仿宋简体"/>
          <w:sz w:val="30"/>
          <w:szCs w:val="30"/>
        </w:rPr>
      </w:pPr>
      <w:r>
        <w:rPr>
          <w:rFonts w:eastAsia="方正仿宋简体"/>
          <w:sz w:val="30"/>
          <w:szCs w:val="30"/>
        </w:rPr>
        <w:t>锌期货实行完税交割。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锌期货交割品级详见《上海期货交易所锌期货合约》。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锌期货交割商品应当是交易所注册的生产企业生产的注册商标的商品。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交割单位的锌锭应当是同一生产企业生产、同一注册商标、同一质量品级、同一块形、同一包装数量（捆重近似）的商品组成。注册生产企业自行选定注册产品捆重，但要利于组手，每捆包装采用30-32*0.9-1.0mm表面作防锈处理的钢带捆扎，捆扎应当坚固，同时标有醒目的、不易脱落的产品商品标志、批号及捆重。</w:t>
      </w:r>
    </w:p>
    <w:p>
      <w:pPr>
        <w:spacing w:line="560" w:lineRule="exact"/>
        <w:ind w:firstLine="600" w:firstLineChars="2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pPr>
        <w:spacing w:line="560" w:lineRule="exact"/>
        <w:ind w:firstLine="600" w:firstLineChars="200"/>
        <w:rPr>
          <w:rFonts w:eastAsia="方正仿宋简体"/>
          <w:b/>
          <w:color w:val="FF0000"/>
          <w:sz w:val="30"/>
          <w:szCs w:val="30"/>
        </w:rPr>
      </w:pPr>
      <w:r>
        <w:rPr>
          <w:rFonts w:eastAsia="方正仿宋简体"/>
          <w:sz w:val="30"/>
          <w:szCs w:val="30"/>
        </w:rPr>
        <w:t>（三）国产锌的每锭重量为18~30KG。</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溢短和磅差：每张标准仓单所列锌锭的重量为25吨，溢短不超过±2%，磅差不超过±0.1%。</w:t>
      </w:r>
    </w:p>
    <w:p>
      <w:pPr>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锌期货合约的交割单位为25吨。</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锌期货合约的交割日期为最后交易日后连续二个工作日。</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第二十一条 </w:t>
      </w:r>
      <w:r>
        <w:rPr>
          <w:rFonts w:eastAsia="方正仿宋简体"/>
          <w:sz w:val="30"/>
          <w:szCs w:val="30"/>
        </w:rPr>
        <w:t>锌期货合约交割结算的基准价为该期货合约最后交易日的结算价。</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第二十二条 </w:t>
      </w:r>
      <w:r>
        <w:rPr>
          <w:rFonts w:eastAsia="方正仿宋简体"/>
          <w:sz w:val="30"/>
          <w:szCs w:val="30"/>
        </w:rPr>
        <w:t>交割地点：交易所交割仓库，由交易所另行公告。</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期转现使用标准仓单并通过交易所结算发生锌交割实物质量纠纷的，买方应当在货款和标准仓单交换日后的25天内提出质量异议申请，并应当同时提供交易所指定检验机构出具的质量鉴定结论。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锌期货合约的最低交易保证金为合约价值的5%。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锌期货合约上市运行不同阶段的交易保证金收取标准为：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锌交易保证金比例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锌期货合约涨跌停板幅度为上一交易日结算价±4%。</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锌期货合约在不同时期的限仓比例和限仓数额具体规定如下：</w:t>
      </w:r>
    </w:p>
    <w:p>
      <w:pPr>
        <w:spacing w:line="560" w:lineRule="exact"/>
        <w:ind w:firstLine="560" w:firstLineChars="200"/>
        <w:rPr>
          <w:rFonts w:eastAsia="方正仿宋简体"/>
          <w:sz w:val="28"/>
          <w:szCs w:val="28"/>
        </w:rPr>
      </w:pPr>
      <w:r>
        <w:rPr>
          <w:rFonts w:eastAsia="方正仿宋简体"/>
          <w:sz w:val="28"/>
          <w:szCs w:val="28"/>
        </w:rPr>
        <w:t>（单位：手）</w:t>
      </w:r>
    </w:p>
    <w:tbl>
      <w:tblPr>
        <w:tblStyle w:val="4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jc w:val="center"/>
              <w:rPr>
                <w:rFonts w:eastAsia="方正仿宋简体"/>
                <w:bCs/>
                <w:color w:val="000000"/>
                <w:sz w:val="24"/>
              </w:rPr>
            </w:pPr>
          </w:p>
        </w:tc>
        <w:tc>
          <w:tcPr>
            <w:tcW w:w="2273"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099"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57" w:type="pct"/>
            <w:vAlign w:val="center"/>
          </w:tcPr>
          <w:p>
            <w:pPr>
              <w:jc w:val="center"/>
              <w:rPr>
                <w:rFonts w:eastAsia="方正仿宋简体"/>
                <w:bCs/>
                <w:color w:val="000000"/>
                <w:sz w:val="24"/>
              </w:rPr>
            </w:pPr>
            <w:r>
              <w:rPr>
                <w:rFonts w:eastAsia="方正仿宋简体"/>
                <w:bCs/>
                <w:color w:val="000000"/>
                <w:sz w:val="24"/>
              </w:rPr>
              <w:t>客户</w:t>
            </w:r>
          </w:p>
        </w:tc>
        <w:tc>
          <w:tcPr>
            <w:tcW w:w="52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锌</w:t>
            </w: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c>
          <w:tcPr>
            <w:tcW w:w="657" w:type="pct"/>
            <w:vAlign w:val="center"/>
          </w:tcPr>
          <w:p>
            <w:pPr>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color="auto" w:sz="4" w:space="0"/>
            </w:tcBorders>
            <w:vAlign w:val="center"/>
          </w:tcPr>
          <w:p>
            <w:pPr>
              <w:ind w:firstLine="120" w:firstLineChars="50"/>
              <w:rPr>
                <w:rFonts w:eastAsia="方正仿宋简体"/>
                <w:bCs/>
                <w:color w:val="000000"/>
                <w:sz w:val="24"/>
              </w:rPr>
            </w:pPr>
            <w:r>
              <w:rPr>
                <w:rFonts w:eastAsia="方正仿宋简体"/>
                <w:bCs/>
                <w:color w:val="000000"/>
                <w:sz w:val="24"/>
              </w:rPr>
              <w:t>2400</w:t>
            </w:r>
          </w:p>
        </w:tc>
        <w:tc>
          <w:tcPr>
            <w:tcW w:w="576" w:type="pct"/>
            <w:vMerge w:val="restart"/>
            <w:vAlign w:val="center"/>
          </w:tcPr>
          <w:p>
            <w:pPr>
              <w:jc w:val="center"/>
              <w:rPr>
                <w:rFonts w:eastAsia="方正仿宋简体"/>
                <w:bCs/>
                <w:color w:val="000000"/>
                <w:sz w:val="24"/>
              </w:rPr>
            </w:pPr>
            <w:r>
              <w:rPr>
                <w:rFonts w:eastAsia="方正仿宋简体"/>
                <w:bCs/>
                <w:color w:val="000000"/>
                <w:sz w:val="24"/>
              </w:rPr>
              <w:t>2400</w:t>
            </w:r>
          </w:p>
        </w:tc>
        <w:tc>
          <w:tcPr>
            <w:tcW w:w="605" w:type="pct"/>
            <w:vMerge w:val="restar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800</w:t>
            </w:r>
          </w:p>
        </w:tc>
        <w:tc>
          <w:tcPr>
            <w:tcW w:w="429" w:type="pct"/>
            <w:vMerge w:val="restart"/>
            <w:vAlign w:val="center"/>
          </w:tcPr>
          <w:p>
            <w:pPr>
              <w:jc w:val="center"/>
              <w:rPr>
                <w:rFonts w:eastAsia="方正仿宋简体"/>
                <w:bCs/>
                <w:color w:val="000000"/>
                <w:sz w:val="24"/>
              </w:rPr>
            </w:pPr>
            <w:r>
              <w:rPr>
                <w:rFonts w:eastAsia="方正仿宋简体"/>
                <w:bCs/>
                <w:color w:val="000000"/>
                <w:sz w:val="24"/>
              </w:rP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6000</w:t>
            </w:r>
          </w:p>
        </w:tc>
        <w:tc>
          <w:tcPr>
            <w:tcW w:w="657" w:type="pct"/>
            <w:vAlign w:val="center"/>
          </w:tcPr>
          <w:p>
            <w:pPr>
              <w:jc w:val="center"/>
              <w:rPr>
                <w:rFonts w:eastAsia="方正仿宋简体"/>
                <w:bCs/>
                <w:color w:val="000000"/>
                <w:sz w:val="24"/>
              </w:rPr>
            </w:pPr>
            <w:r>
              <w:rPr>
                <w:rFonts w:eastAsia="方正仿宋简体"/>
                <w:bCs/>
                <w:color w:val="000000"/>
                <w:sz w:val="24"/>
              </w:rPr>
              <w:t>6000</w:t>
            </w:r>
          </w:p>
        </w:tc>
        <w:tc>
          <w:tcPr>
            <w:tcW w:w="523"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560" w:firstLineChars="200"/>
        <w:rPr>
          <w:rFonts w:eastAsia="方正仿宋简体"/>
          <w:sz w:val="28"/>
          <w:szCs w:val="28"/>
        </w:rPr>
      </w:pPr>
      <w:r>
        <w:rPr>
          <w:rFonts w:eastAsia="方正仿宋简体"/>
          <w:sz w:val="28"/>
          <w:szCs w:val="28"/>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第二十九条</w:t>
      </w:r>
      <w:r>
        <w:rPr>
          <w:rFonts w:hint="eastAsia" w:eastAsia="方正仿宋简体"/>
          <w:b/>
          <w:sz w:val="30"/>
          <w:szCs w:val="30"/>
        </w:rPr>
        <w:t xml:space="preserve"> </w:t>
      </w:r>
      <w:r>
        <w:rPr>
          <w:rFonts w:hint="eastAsia" w:eastAsia="方正仿宋简体"/>
          <w:sz w:val="30"/>
          <w:szCs w:val="30"/>
        </w:rPr>
        <w:t>交割</w:t>
      </w:r>
      <w:r>
        <w:rPr>
          <w:rFonts w:hint="eastAsia" w:eastAsia="方正仿宋简体"/>
          <w:color w:val="000000"/>
          <w:sz w:val="30"/>
          <w:szCs w:val="30"/>
        </w:rPr>
        <w:t>月前第一月的最后一个交易日收盘前，交易者（即客户、非期货公司会员，下同）在每个交易编码上的锌期货合约的一般持仓应当调整为5手的整倍数（遇市场特殊情况无法按期调整的，可以顺延一天）；进入交割月后，锌期货合约一般持仓应当是5手的整倍数，新开仓、平仓也应当是5手的整倍数。</w:t>
      </w:r>
    </w:p>
    <w:p>
      <w:pPr>
        <w:spacing w:line="560" w:lineRule="exact"/>
        <w:ind w:firstLine="602" w:firstLineChars="200"/>
        <w:rPr>
          <w:rFonts w:eastAsia="方正仿宋简体"/>
          <w:color w:val="000000"/>
          <w:sz w:val="30"/>
          <w:szCs w:val="30"/>
        </w:rPr>
      </w:pPr>
      <w:r>
        <w:rPr>
          <w:rFonts w:eastAsia="方正仿宋简体"/>
          <w:b/>
          <w:sz w:val="30"/>
          <w:szCs w:val="30"/>
        </w:rPr>
        <w:t>第三十条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锌</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该锌期货合约的单位净持仓亏损大于或者等于强制减仓基准日结算</w:t>
      </w:r>
      <w:r>
        <w:rPr>
          <w:rFonts w:eastAsia="方正仿宋简体"/>
          <w:sz w:val="30"/>
          <w:szCs w:val="30"/>
        </w:rPr>
        <w:t>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b/>
          <w:color w:val="FF0000"/>
          <w:sz w:val="30"/>
          <w:szCs w:val="30"/>
        </w:rPr>
      </w:pPr>
      <w:r>
        <w:rPr>
          <w:rFonts w:eastAsia="黑体"/>
          <w:sz w:val="30"/>
          <w:szCs w:val="30"/>
        </w:rPr>
        <w:t>第</w:t>
      </w:r>
      <w:r>
        <w:rPr>
          <w:rFonts w:hint="eastAsia" w:eastAsia="黑体"/>
          <w:sz w:val="30"/>
          <w:szCs w:val="30"/>
        </w:rPr>
        <w:t>五</w:t>
      </w:r>
      <w:r>
        <w:rPr>
          <w:rFonts w:eastAsia="黑体"/>
          <w:sz w:val="30"/>
          <w:szCs w:val="30"/>
        </w:rPr>
        <w:t>章 附则</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第三十四条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上海期货交易所铅期货业务细则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bCs/>
          <w:sz w:val="28"/>
          <w:szCs w:val="30"/>
        </w:rPr>
      </w:pPr>
    </w:p>
    <w:p>
      <w:pPr>
        <w:spacing w:line="560" w:lineRule="exact"/>
        <w:jc w:val="center"/>
        <w:rPr>
          <w:rFonts w:eastAsia="黑体"/>
          <w:sz w:val="30"/>
          <w:szCs w:val="30"/>
        </w:rPr>
      </w:pPr>
      <w:r>
        <w:rPr>
          <w:rFonts w:eastAsia="黑体"/>
          <w:sz w:val="30"/>
          <w:szCs w:val="30"/>
        </w:rPr>
        <w:t>第一章</w:t>
      </w:r>
      <w:r>
        <w:rPr>
          <w:rFonts w:hint="eastAsia" w:eastAsia="黑体"/>
          <w:sz w:val="30"/>
          <w:szCs w:val="30"/>
        </w:rPr>
        <w:t xml:space="preserve"> </w:t>
      </w:r>
      <w:r>
        <w:rPr>
          <w:rFonts w:eastAsia="黑体"/>
          <w:sz w:val="30"/>
          <w:szCs w:val="30"/>
        </w:rPr>
        <w:t>总</w:t>
      </w:r>
      <w:r>
        <w:rPr>
          <w:rFonts w:hint="eastAsia" w:eastAsia="黑体"/>
          <w:sz w:val="30"/>
          <w:szCs w:val="30"/>
        </w:rPr>
        <w:t xml:space="preserve"> </w:t>
      </w:r>
      <w:r>
        <w:rPr>
          <w:rFonts w:eastAsia="黑体"/>
          <w:sz w:val="30"/>
          <w:szCs w:val="30"/>
        </w:rPr>
        <w:t>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为了规范上海期货交易所（以下简称交易所）铅期货相关业务，根据《上海期货交易所交易规则》《上海期货交易所铅期货合约》以及相关业务规则，制定本细则。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铅期货合约的交易单位为5吨/手。</w:t>
      </w:r>
    </w:p>
    <w:p>
      <w:pPr>
        <w:spacing w:line="56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铅期货合约的报价单位为元（人民币）/吨。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铅期货合约的最小变动价位为5元/吨。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铅期货合约月份为1~12月。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铅期货合约的交易时间为上午9:00~11:30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铅期货合约的最后交易日为合约月份的15日，遇国家法定节假日顺延，春节月份等最后交易日交易所可另行调整并通知。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铅期货合约的交易代码为PB。</w:t>
      </w:r>
    </w:p>
    <w:p>
      <w:pPr>
        <w:spacing w:line="560" w:lineRule="exact"/>
        <w:ind w:firstLine="602" w:firstLineChars="200"/>
        <w:rPr>
          <w:rFonts w:eastAsia="方正仿宋简体"/>
          <w:b/>
          <w:color w:val="FF0000"/>
          <w:sz w:val="30"/>
          <w:szCs w:val="30"/>
        </w:rPr>
      </w:pPr>
      <w:r>
        <w:rPr>
          <w:rFonts w:eastAsia="方正仿宋简体"/>
          <w:b/>
          <w:sz w:val="30"/>
          <w:szCs w:val="30"/>
        </w:rPr>
        <w:t>第十条</w:t>
      </w:r>
      <w:r>
        <w:rPr>
          <w:rFonts w:hint="eastAsia" w:eastAsia="方正仿宋简体"/>
          <w:b/>
          <w:sz w:val="30"/>
          <w:szCs w:val="30"/>
        </w:rPr>
        <w:t xml:space="preserve"> </w:t>
      </w:r>
      <w:r>
        <w:rPr>
          <w:rFonts w:eastAsia="方正仿宋简体"/>
          <w:sz w:val="30"/>
          <w:szCs w:val="30"/>
        </w:rPr>
        <w:t>铅期货套期保值交易持仓额度和套利交易持仓额度，所涉的一般月份是指合约挂牌至交割月前第二月的最后一个交易日，所涉的临近交割月份是指交割月前第一月和交割月份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铅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铅期货临近交割月份套期保值交易持仓额度的申请应当在该套期保值所涉合约交割月前第二月的第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铅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铅期货套期保值交易持仓额度自交割月份第一交易日起不得重复使用。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铅期货适用期货转现货、仓库交割。</w:t>
      </w:r>
    </w:p>
    <w:p>
      <w:pPr>
        <w:spacing w:line="560" w:lineRule="exact"/>
        <w:ind w:firstLine="600" w:firstLineChars="200"/>
        <w:rPr>
          <w:rFonts w:eastAsia="方正仿宋简体"/>
          <w:sz w:val="30"/>
          <w:szCs w:val="30"/>
        </w:rPr>
      </w:pPr>
      <w:r>
        <w:rPr>
          <w:rFonts w:eastAsia="方正仿宋简体"/>
          <w:sz w:val="30"/>
          <w:szCs w:val="30"/>
        </w:rPr>
        <w:t>铅期货实行完税交割。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铅期货交割品级详见《上海期货交易所铅期货合约》。</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第十五条 </w:t>
      </w:r>
      <w:r>
        <w:rPr>
          <w:rFonts w:eastAsia="方正仿宋简体"/>
          <w:sz w:val="30"/>
          <w:szCs w:val="30"/>
        </w:rPr>
        <w:t>铅期货交割商品应当是交易所注册的生产企业生产的注册商标的商品。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要求由交易所另行公告。捆扎应当坚固，同时标有醒目的、不易脱落的产品标识，注明生产厂名称、产品名称、牌号、批号、净重和生产日期。</w:t>
      </w:r>
    </w:p>
    <w:p>
      <w:pPr>
        <w:spacing w:line="560" w:lineRule="exact"/>
        <w:ind w:firstLine="600" w:firstLineChars="200"/>
        <w:rPr>
          <w:rFonts w:eastAsia="方正仿宋简体"/>
          <w:sz w:val="30"/>
          <w:szCs w:val="30"/>
        </w:rPr>
      </w:pPr>
      <w:r>
        <w:rPr>
          <w:rFonts w:eastAsia="方正仿宋简体"/>
          <w:sz w:val="30"/>
          <w:szCs w:val="30"/>
        </w:rPr>
        <w:t>（二）到库商品中，遇有包装带断裂的捆件及散块商品，应当重新组合，用规定的包装带捆扎紧固，方可用于交割。包装费用由货主承担。</w:t>
      </w:r>
    </w:p>
    <w:p>
      <w:pPr>
        <w:spacing w:line="560" w:lineRule="exact"/>
        <w:ind w:firstLine="600" w:firstLineChars="200"/>
        <w:rPr>
          <w:rFonts w:eastAsia="方正仿宋简体"/>
          <w:sz w:val="30"/>
          <w:szCs w:val="30"/>
        </w:rPr>
      </w:pPr>
      <w:r>
        <w:rPr>
          <w:rFonts w:eastAsia="方正仿宋简体"/>
          <w:sz w:val="30"/>
          <w:szCs w:val="30"/>
        </w:rPr>
        <w:t>（三）国产铅的每锭重量可为48kg±3kg、42kg±2kg、24kg±1kg。</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b/>
          <w:color w:val="FF0000"/>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溢短和磅差：每张标准仓单所列铅锭的重量为25吨，溢短不超过±2%，磅差不超过±0.1%。</w:t>
      </w:r>
    </w:p>
    <w:p>
      <w:pPr>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铅期货合约的交割单位为25吨。</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铅期货合约的交割日期为最后交易日后连续二个工作日。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 xml:space="preserve">第二十一条 </w:t>
      </w:r>
      <w:r>
        <w:rPr>
          <w:rFonts w:eastAsia="方正仿宋简体"/>
          <w:sz w:val="30"/>
          <w:szCs w:val="30"/>
        </w:rPr>
        <w:t>铅期货合约交割结算的基准价为该期货合约最后交易日的结算价。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 xml:space="preserve">第二十二条 </w:t>
      </w:r>
      <w:r>
        <w:rPr>
          <w:rFonts w:eastAsia="方正仿宋简体"/>
          <w:sz w:val="30"/>
          <w:szCs w:val="30"/>
        </w:rPr>
        <w:t>交割地点：交易所交割仓库，由交易所另行公告。用于铅期货交割的铅锭应当存放在室内库房。</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期转现使用标准仓单并通过交易所结算发生铅交割实物质量纠纷的，买方应当在货款和标准仓单交换日后的25天内提出质量异议申请，并应当同时提供交易所指定检验机构出具的质量鉴定结论。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铅期货合约的最低交易保证金为合约价值的5%。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铅期货合约上市运行不同阶段的交易保证金收取标准为：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铅交易保证金比例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铅期货合约涨跌停板幅度为上一交易日结算价±4%。</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铅期货合约在不同时期的限仓比例和限仓数额具体规定如下：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jc w:val="center"/>
              <w:rPr>
                <w:rFonts w:eastAsia="方正仿宋简体"/>
                <w:bCs/>
                <w:color w:val="000000"/>
                <w:sz w:val="24"/>
              </w:rPr>
            </w:pPr>
          </w:p>
        </w:tc>
        <w:tc>
          <w:tcPr>
            <w:tcW w:w="2273"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099"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57" w:type="pct"/>
            <w:vAlign w:val="center"/>
          </w:tcPr>
          <w:p>
            <w:pPr>
              <w:jc w:val="center"/>
              <w:rPr>
                <w:rFonts w:eastAsia="方正仿宋简体"/>
                <w:bCs/>
                <w:color w:val="000000"/>
                <w:sz w:val="24"/>
              </w:rPr>
            </w:pPr>
            <w:r>
              <w:rPr>
                <w:rFonts w:eastAsia="方正仿宋简体"/>
                <w:bCs/>
                <w:color w:val="000000"/>
                <w:sz w:val="24"/>
              </w:rPr>
              <w:t>客户</w:t>
            </w:r>
          </w:p>
        </w:tc>
        <w:tc>
          <w:tcPr>
            <w:tcW w:w="52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铅</w:t>
            </w: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5万手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c>
          <w:tcPr>
            <w:tcW w:w="657" w:type="pct"/>
            <w:vAlign w:val="center"/>
          </w:tcPr>
          <w:p>
            <w:pPr>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color="auto" w:sz="4" w:space="0"/>
            </w:tcBorders>
            <w:vAlign w:val="center"/>
          </w:tcPr>
          <w:p>
            <w:pPr>
              <w:ind w:firstLine="120" w:firstLineChars="50"/>
              <w:rPr>
                <w:rFonts w:eastAsia="方正仿宋简体"/>
                <w:bCs/>
                <w:color w:val="000000"/>
                <w:sz w:val="24"/>
              </w:rPr>
            </w:pPr>
            <w:r>
              <w:rPr>
                <w:rFonts w:eastAsia="方正仿宋简体"/>
                <w:bCs/>
                <w:color w:val="000000"/>
                <w:sz w:val="24"/>
              </w:rPr>
              <w:t>1800</w:t>
            </w:r>
          </w:p>
        </w:tc>
        <w:tc>
          <w:tcPr>
            <w:tcW w:w="576" w:type="pct"/>
            <w:vMerge w:val="restart"/>
            <w:vAlign w:val="center"/>
          </w:tcPr>
          <w:p>
            <w:pPr>
              <w:jc w:val="center"/>
              <w:rPr>
                <w:rFonts w:eastAsia="方正仿宋简体"/>
                <w:bCs/>
                <w:color w:val="000000"/>
                <w:sz w:val="24"/>
              </w:rPr>
            </w:pPr>
            <w:r>
              <w:rPr>
                <w:rFonts w:eastAsia="方正仿宋简体"/>
                <w:bCs/>
                <w:color w:val="000000"/>
                <w:sz w:val="24"/>
              </w:rPr>
              <w:t>1800</w:t>
            </w:r>
          </w:p>
        </w:tc>
        <w:tc>
          <w:tcPr>
            <w:tcW w:w="605" w:type="pct"/>
            <w:vMerge w:val="restar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w:t>
            </w:r>
          </w:p>
        </w:tc>
        <w:tc>
          <w:tcPr>
            <w:tcW w:w="429" w:type="pct"/>
            <w:vMerge w:val="restart"/>
            <w:vAlign w:val="center"/>
          </w:tcPr>
          <w:p>
            <w:pPr>
              <w:jc w:val="center"/>
              <w:rPr>
                <w:rFonts w:eastAsia="方正仿宋简体"/>
                <w:bCs/>
                <w:color w:val="000000"/>
                <w:sz w:val="24"/>
              </w:rPr>
            </w:pPr>
            <w:r>
              <w:rPr>
                <w:rFonts w:eastAsia="方正仿宋简体"/>
                <w:bCs/>
                <w:color w:val="000000"/>
                <w:sz w:val="24"/>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＜5万手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5000</w:t>
            </w:r>
          </w:p>
        </w:tc>
        <w:tc>
          <w:tcPr>
            <w:tcW w:w="657" w:type="pct"/>
            <w:vAlign w:val="center"/>
          </w:tcPr>
          <w:p>
            <w:pPr>
              <w:jc w:val="center"/>
              <w:rPr>
                <w:rFonts w:eastAsia="方正仿宋简体"/>
                <w:bCs/>
                <w:color w:val="000000"/>
                <w:sz w:val="24"/>
              </w:rPr>
            </w:pPr>
            <w:r>
              <w:rPr>
                <w:rFonts w:eastAsia="方正仿宋简体"/>
                <w:bCs/>
                <w:color w:val="000000"/>
                <w:sz w:val="24"/>
              </w:rPr>
              <w:t>5000</w:t>
            </w:r>
          </w:p>
        </w:tc>
        <w:tc>
          <w:tcPr>
            <w:tcW w:w="523"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第二十九条</w:t>
      </w:r>
      <w:r>
        <w:rPr>
          <w:rFonts w:hint="eastAsia" w:eastAsia="方正仿宋简体"/>
          <w:b/>
          <w:sz w:val="30"/>
          <w:szCs w:val="30"/>
        </w:rPr>
        <w:t xml:space="preserve"> </w:t>
      </w:r>
      <w:r>
        <w:rPr>
          <w:rFonts w:eastAsia="方正仿宋简体"/>
          <w:sz w:val="30"/>
          <w:szCs w:val="30"/>
        </w:rPr>
        <w:t>交</w:t>
      </w:r>
      <w:r>
        <w:rPr>
          <w:rFonts w:eastAsia="方正仿宋简体"/>
          <w:color w:val="000000"/>
          <w:sz w:val="30"/>
          <w:szCs w:val="30"/>
        </w:rPr>
        <w:t>割月前第一月的最后一个交易日收盘前，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w:t>
      </w:r>
      <w:r>
        <w:rPr>
          <w:rFonts w:eastAsia="方正仿宋简体"/>
          <w:color w:val="000000"/>
          <w:sz w:val="30"/>
          <w:szCs w:val="30"/>
        </w:rPr>
        <w:t>铅期货合约的</w:t>
      </w:r>
      <w:r>
        <w:rPr>
          <w:rFonts w:hint="eastAsia" w:eastAsia="方正仿宋简体"/>
          <w:color w:val="000000"/>
          <w:sz w:val="30"/>
          <w:szCs w:val="30"/>
        </w:rPr>
        <w:t>一般</w:t>
      </w:r>
      <w:r>
        <w:rPr>
          <w:rFonts w:eastAsia="方正仿宋简体"/>
          <w:color w:val="000000"/>
          <w:sz w:val="30"/>
          <w:szCs w:val="30"/>
        </w:rPr>
        <w:t>持仓应当调整为5手的整倍数（遇市场特殊情况无法按期调整的，可以顺延一天）</w:t>
      </w:r>
      <w:r>
        <w:rPr>
          <w:rFonts w:hint="eastAsia" w:eastAsia="方正仿宋简体"/>
          <w:color w:val="000000"/>
          <w:sz w:val="30"/>
          <w:szCs w:val="30"/>
        </w:rPr>
        <w:t>；</w:t>
      </w:r>
      <w:r>
        <w:rPr>
          <w:rFonts w:eastAsia="方正仿宋简体"/>
          <w:color w:val="000000"/>
          <w:sz w:val="30"/>
          <w:szCs w:val="30"/>
        </w:rPr>
        <w:t>进入交割月后，铅期货合约</w:t>
      </w:r>
      <w:r>
        <w:rPr>
          <w:rFonts w:hint="eastAsia" w:eastAsia="方正仿宋简体"/>
          <w:color w:val="000000"/>
          <w:sz w:val="30"/>
          <w:szCs w:val="30"/>
        </w:rPr>
        <w:t>一般</w:t>
      </w:r>
      <w:r>
        <w:rPr>
          <w:rFonts w:eastAsia="方正仿宋简体"/>
          <w:color w:val="000000"/>
          <w:sz w:val="30"/>
          <w:szCs w:val="30"/>
        </w:rPr>
        <w:t>持仓应当是5手的整倍数，新开仓、平仓也应当是5手的整倍数。</w:t>
      </w:r>
    </w:p>
    <w:p>
      <w:pPr>
        <w:spacing w:line="560" w:lineRule="exact"/>
        <w:ind w:firstLine="602" w:firstLineChars="200"/>
        <w:rPr>
          <w:rFonts w:eastAsia="方正仿宋简体"/>
          <w:color w:val="000000"/>
          <w:sz w:val="30"/>
          <w:szCs w:val="30"/>
        </w:rPr>
      </w:pPr>
      <w:r>
        <w:rPr>
          <w:rFonts w:eastAsia="方正仿宋简体"/>
          <w:b/>
          <w:sz w:val="30"/>
          <w:szCs w:val="30"/>
        </w:rPr>
        <w:t>第三十条</w:t>
      </w:r>
      <w:r>
        <w:rPr>
          <w:rFonts w:hint="eastAsia" w:eastAsia="方正仿宋简体"/>
          <w:b/>
          <w:sz w:val="30"/>
          <w:szCs w:val="30"/>
        </w:rPr>
        <w:t xml:space="preserve"> </w:t>
      </w:r>
      <w:r>
        <w:rPr>
          <w:rFonts w:eastAsia="方正仿宋简体"/>
          <w:sz w:val="30"/>
          <w:szCs w:val="30"/>
        </w:rPr>
        <w:t>交易所对某一铅期货合约采取强制减仓的，其申报平仓数量、持仓盈利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w:t>
      </w:r>
      <w:r>
        <w:rPr>
          <w:rFonts w:eastAsia="方正仿宋简体"/>
          <w:sz w:val="30"/>
          <w:szCs w:val="30"/>
        </w:rPr>
        <w:t>铅期货合约的单位净持仓亏损大于或者等于强制减仓基准日结算价6%的所有申报平仓数量的总和为平仓数量。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w:t>
      </w:r>
      <w:r>
        <w:rPr>
          <w:rFonts w:eastAsia="方正仿宋简体"/>
          <w:sz w:val="30"/>
          <w:szCs w:val="30"/>
        </w:rPr>
        <w:t>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一般持仓</w:t>
      </w:r>
      <w:r>
        <w:rPr>
          <w:rFonts w:eastAsia="方正仿宋简体"/>
          <w:color w:val="000000"/>
          <w:sz w:val="30"/>
          <w:szCs w:val="30"/>
        </w:rPr>
        <w:t>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。上述各级分配比例均按申报平仓数量（剩余申报平仓数量）与各级可平仓的盈利持仓数量之比进行分配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第三十四条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上海期货交易所镍期货业务细则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ascii="楷体" w:hAnsi="楷体" w:eastAsia="楷体"/>
          <w:bCs/>
          <w:sz w:val="28"/>
          <w:szCs w:val="30"/>
        </w:rPr>
      </w:pPr>
    </w:p>
    <w:p>
      <w:pPr>
        <w:spacing w:line="360" w:lineRule="auto"/>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为了规范上海期货交易所（以下简称交易所）镍期货相关业务，根据《上海期货交易所交易规则》《上海期货交易所镍期货合约》以及相关业务规则，制定本细则。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镍期货合约的交易单位为1吨/手。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镍期货合约的报价单位为元（人民币）/吨。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镍期货合约的最小变动价位为10元/吨。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镍期货合约月份为1～12月。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镍期货合约的交易时间为上午9:00～11:30，下午1:30～3:00和交易所规定的其他交易时间。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镍期货合约的最后交易日为合约月份的15日，遇国家法定节假日顺延，春节月份等最后交易日交易所可另行调整并通知。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镍期货合约的交易代码为NI。</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镍期货套期保值交易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按合约方式申请镍期货一般月份套期保值交易持仓额度的，</w:t>
      </w:r>
      <w:r>
        <w:rPr>
          <w:rFonts w:eastAsia="方正仿宋简体"/>
          <w:sz w:val="30"/>
          <w:szCs w:val="30"/>
        </w:rPr>
        <w:t>应当在该套期保值所涉合约交割月前第二月的最后一个交易日之前提出，逾期交易所不再受理。</w:t>
      </w:r>
      <w:r>
        <w:rPr>
          <w:rFonts w:hint="eastAsia" w:eastAsia="方正仿宋简体"/>
          <w:sz w:val="30"/>
          <w:szCs w:val="30"/>
        </w:rPr>
        <w:t>按品种方式申请一般月份套期保值交易持仓额度的，按照《上海期货交易所套期保值交易管理办法》相关</w:t>
      </w:r>
      <w:r>
        <w:rPr>
          <w:rFonts w:eastAsia="方正仿宋简体"/>
          <w:sz w:val="30"/>
          <w:szCs w:val="30"/>
        </w:rPr>
        <w:t>规定</w:t>
      </w:r>
      <w:r>
        <w:rPr>
          <w:rFonts w:hint="eastAsia" w:eastAsia="方正仿宋简体"/>
          <w:sz w:val="30"/>
          <w:szCs w:val="30"/>
        </w:rPr>
        <w:t>执行。</w:t>
      </w:r>
    </w:p>
    <w:p>
      <w:pPr>
        <w:spacing w:line="560" w:lineRule="exact"/>
        <w:ind w:firstLine="600" w:firstLineChars="200"/>
        <w:rPr>
          <w:rFonts w:eastAsia="方正仿宋简体"/>
          <w:sz w:val="30"/>
          <w:szCs w:val="30"/>
        </w:rPr>
      </w:pPr>
      <w:r>
        <w:rPr>
          <w:rFonts w:eastAsia="方正仿宋简体"/>
          <w:sz w:val="30"/>
          <w:szCs w:val="30"/>
        </w:rPr>
        <w:t>镍期货临近交割月份套期保值交易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sz w:val="30"/>
          <w:szCs w:val="30"/>
        </w:rPr>
        <w:t>二</w:t>
      </w:r>
      <w:r>
        <w:rPr>
          <w:rFonts w:eastAsia="方正仿宋简体"/>
          <w:sz w:val="30"/>
          <w:szCs w:val="30"/>
        </w:rPr>
        <w:t>月的第一个交易日至交割月前第一月的最后一个交易日之间提出，逾期交易所不再受理；镍期货临近交割月份套利交易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b/>
          <w:color w:val="FF0000"/>
          <w:sz w:val="30"/>
          <w:szCs w:val="30"/>
        </w:rPr>
      </w:pPr>
      <w:r>
        <w:rPr>
          <w:rFonts w:eastAsia="方正仿宋简体"/>
          <w:b/>
          <w:sz w:val="30"/>
          <w:szCs w:val="30"/>
        </w:rPr>
        <w:t>第十二条</w:t>
      </w:r>
      <w:r>
        <w:rPr>
          <w:rFonts w:eastAsia="方正仿宋简体"/>
          <w:sz w:val="30"/>
          <w:szCs w:val="30"/>
        </w:rPr>
        <w:t xml:space="preserve"> 镍期货套期保值交易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三</w:t>
      </w:r>
      <w:r>
        <w:rPr>
          <w:rFonts w:eastAsia="方正仿宋简体"/>
          <w:b/>
          <w:sz w:val="30"/>
          <w:szCs w:val="30"/>
        </w:rPr>
        <w:t>条</w:t>
      </w:r>
      <w:r>
        <w:rPr>
          <w:rFonts w:eastAsia="方正仿宋简体"/>
          <w:sz w:val="30"/>
          <w:szCs w:val="30"/>
        </w:rPr>
        <w:t xml:space="preserve"> 镍期货适用期货转现货、仓库交割。</w:t>
      </w:r>
    </w:p>
    <w:p>
      <w:pPr>
        <w:spacing w:line="560" w:lineRule="exact"/>
        <w:ind w:firstLine="600" w:firstLineChars="200"/>
        <w:rPr>
          <w:rFonts w:eastAsia="方正仿宋简体"/>
          <w:b/>
          <w:sz w:val="30"/>
          <w:szCs w:val="30"/>
          <w:shd w:val="pct10" w:color="auto" w:fill="FFFFFF"/>
        </w:rPr>
      </w:pPr>
      <w:r>
        <w:rPr>
          <w:rFonts w:eastAsia="方正仿宋简体"/>
          <w:sz w:val="30"/>
          <w:szCs w:val="30"/>
        </w:rPr>
        <w:t>镍期货实行完税交割。</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四</w:t>
      </w:r>
      <w:r>
        <w:rPr>
          <w:rFonts w:eastAsia="方正仿宋简体"/>
          <w:b/>
          <w:sz w:val="30"/>
          <w:szCs w:val="30"/>
        </w:rPr>
        <w:t>条</w:t>
      </w:r>
      <w:r>
        <w:rPr>
          <w:rFonts w:eastAsia="方正仿宋简体"/>
          <w:sz w:val="30"/>
          <w:szCs w:val="30"/>
        </w:rPr>
        <w:t xml:space="preserve"> 镍期货的交割品级详见《上海期货交易所镍期货合约》。</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五</w:t>
      </w:r>
      <w:r>
        <w:rPr>
          <w:rFonts w:eastAsia="方正仿宋简体"/>
          <w:b/>
          <w:sz w:val="30"/>
          <w:szCs w:val="30"/>
        </w:rPr>
        <w:t>条</w:t>
      </w:r>
      <w:r>
        <w:rPr>
          <w:rFonts w:eastAsia="方正仿宋简体"/>
          <w:sz w:val="30"/>
          <w:szCs w:val="30"/>
        </w:rPr>
        <w:t xml:space="preserve"> 镍期货交割商品</w:t>
      </w:r>
      <w:r>
        <w:rPr>
          <w:rFonts w:eastAsia="方正仿宋简体"/>
          <w:color w:val="000000"/>
          <w:kern w:val="0"/>
          <w:sz w:val="30"/>
          <w:szCs w:val="30"/>
        </w:rPr>
        <w:t>应当是在交易所注册的生产企业生产的注册品牌商品或者交易所认可的生产企业生产的指定品牌商品</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六</w:t>
      </w:r>
      <w:r>
        <w:rPr>
          <w:rFonts w:eastAsia="方正仿宋简体"/>
          <w:b/>
          <w:sz w:val="30"/>
          <w:szCs w:val="30"/>
        </w:rPr>
        <w:t>条</w:t>
      </w:r>
      <w:r>
        <w:rPr>
          <w:rFonts w:eastAsia="方正仿宋简体"/>
          <w:sz w:val="30"/>
          <w:szCs w:val="30"/>
        </w:rPr>
        <w:t xml:space="preserve"> 交割商品的包装 </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（一）镍板（整板）</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每一交割单位的电解镍应当是同一生产企业生产、同一牌号、同一注册或者指定品牌、同一质量品级、同一块形、捆重近似的商品组成。生产企业自行选定注册产品捆重，但要利于组手，每捆包装采用30-32*0.9-1.0mm表面作防锈处理的钢带井字形捆扎（或者坚固程度相当的钢带捆扎方式），捆扎应当坚固，同时标有醒目的、不易脱落的产品标识。</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2．到库商品中，遇有包装钢带断裂或严重锈蚀的捆件及散块商品，应当重新组合，用规定的钢带捆扎紧固，方可用于交割。包装费用由货主承担。</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（二）镍豆</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每一交割单位的电解镍应当是同一生产企业生产、同一牌号、同一注册或者指定品牌、同一质量品级的商品组成。包装可选用袋装或桶装，生产企业自行选定袋重或者桶重，但要利于组手，同时标有醒目的、不易脱落的产品标识。</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2．到库商品中，遇有包装破损的商品，应当重新包装，包装费用由货主承担。</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（三）其他</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由交易所另行公告。</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七</w:t>
      </w:r>
      <w:r>
        <w:rPr>
          <w:rFonts w:eastAsia="方正仿宋简体"/>
          <w:b/>
          <w:sz w:val="30"/>
          <w:szCs w:val="30"/>
        </w:rPr>
        <w:t xml:space="preserve">条 </w:t>
      </w:r>
      <w:r>
        <w:rPr>
          <w:rFonts w:eastAsia="方正仿宋简体"/>
          <w:sz w:val="30"/>
          <w:szCs w:val="30"/>
        </w:rPr>
        <w:t xml:space="preserve">交割商品必备单证 </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（二）进口商品：应当提供产品质量证明书、产地证明书、商检证书、海关进口关税专用缴款书、海关代征增值税专用缴款书，经交易所审定合格为有效。</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十八</w:t>
      </w:r>
      <w:r>
        <w:rPr>
          <w:rFonts w:eastAsia="方正仿宋简体"/>
          <w:b/>
          <w:sz w:val="30"/>
          <w:szCs w:val="30"/>
        </w:rPr>
        <w:t>条</w:t>
      </w:r>
      <w:r>
        <w:rPr>
          <w:rFonts w:eastAsia="方正仿宋简体"/>
          <w:sz w:val="30"/>
          <w:szCs w:val="30"/>
        </w:rPr>
        <w:t xml:space="preserve"> 溢短和磅差：</w:t>
      </w:r>
      <w:r>
        <w:rPr>
          <w:rFonts w:eastAsia="方正仿宋简体"/>
          <w:color w:val="000000"/>
          <w:kern w:val="0"/>
          <w:sz w:val="30"/>
          <w:szCs w:val="30"/>
        </w:rPr>
        <w:t>每张标准仓单所列电解镍的重量为6吨，溢短不超过±3%，磅差不超过±0.1%。</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十九</w:t>
      </w:r>
      <w:r>
        <w:rPr>
          <w:rFonts w:eastAsia="方正仿宋简体"/>
          <w:b/>
          <w:sz w:val="30"/>
          <w:szCs w:val="30"/>
        </w:rPr>
        <w:t>条</w:t>
      </w:r>
      <w:r>
        <w:rPr>
          <w:rFonts w:eastAsia="方正仿宋简体"/>
          <w:sz w:val="30"/>
          <w:szCs w:val="30"/>
        </w:rPr>
        <w:t xml:space="preserve"> 镍期货合约的交割单位为6吨。</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二十</w:t>
      </w:r>
      <w:r>
        <w:rPr>
          <w:rFonts w:eastAsia="方正仿宋简体"/>
          <w:b/>
          <w:sz w:val="30"/>
          <w:szCs w:val="30"/>
        </w:rPr>
        <w:t>条</w:t>
      </w:r>
      <w:r>
        <w:rPr>
          <w:rFonts w:eastAsia="方正仿宋简体"/>
          <w:sz w:val="30"/>
          <w:szCs w:val="30"/>
        </w:rPr>
        <w:t xml:space="preserve"> 镍期货合约的交割日期为最后交易日后连续二个工作日</w:t>
      </w:r>
      <w:r>
        <w:rPr>
          <w:rFonts w:hint="eastAsia" w:eastAsia="方正仿宋简体"/>
          <w:sz w:val="30"/>
          <w:szCs w:val="30"/>
        </w:rPr>
        <w:t>。</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镍期货合约交割结算的基准价为该期货合约最后交易日的结算价。</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w:t>
      </w:r>
      <w:r>
        <w:rPr>
          <w:rFonts w:ascii="Times New Roman Bold" w:hAnsi="Times New Roman Bold" w:eastAsia="方正仿宋简体"/>
          <w:b/>
          <w:sz w:val="30"/>
          <w:szCs w:val="30"/>
        </w:rPr>
        <w:t>二</w:t>
      </w:r>
      <w:r>
        <w:rPr>
          <w:rFonts w:eastAsia="方正仿宋简体"/>
          <w:b/>
          <w:sz w:val="30"/>
          <w:szCs w:val="30"/>
        </w:rPr>
        <w:t>条</w:t>
      </w:r>
      <w:r>
        <w:rPr>
          <w:rFonts w:eastAsia="方正仿宋简体"/>
          <w:sz w:val="30"/>
          <w:szCs w:val="30"/>
        </w:rPr>
        <w:t xml:space="preserve"> 交割地点：交易所交割仓库，由交易所另行公告。</w:t>
      </w:r>
      <w:r>
        <w:rPr>
          <w:rFonts w:eastAsia="方正仿宋简体"/>
          <w:color w:val="000000"/>
          <w:kern w:val="0"/>
          <w:sz w:val="30"/>
          <w:szCs w:val="30"/>
        </w:rPr>
        <w:t>用于镍期货交割的电解镍应当存放在室内库房。</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三</w:t>
      </w:r>
      <w:r>
        <w:rPr>
          <w:rFonts w:eastAsia="方正仿宋简体"/>
          <w:b/>
          <w:sz w:val="30"/>
          <w:szCs w:val="30"/>
        </w:rPr>
        <w:t>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四</w:t>
      </w:r>
      <w:r>
        <w:rPr>
          <w:rFonts w:eastAsia="方正仿宋简体"/>
          <w:b/>
          <w:sz w:val="30"/>
          <w:szCs w:val="30"/>
        </w:rPr>
        <w:t>条</w:t>
      </w:r>
      <w:r>
        <w:rPr>
          <w:rFonts w:eastAsia="方正仿宋简体"/>
          <w:sz w:val="30"/>
          <w:szCs w:val="30"/>
        </w:rPr>
        <w:t xml:space="preserve"> 期转现使用标准仓单并通过交易所结算发生镍交割实物质量纠纷的，买方应当在货款和标准仓单交换日后的25天内提出质量异议申请，并应当同时提供交易所指定检验机构出具的质量鉴定结论。</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五</w:t>
      </w:r>
      <w:r>
        <w:rPr>
          <w:rFonts w:eastAsia="方正仿宋简体"/>
          <w:b/>
          <w:sz w:val="30"/>
          <w:szCs w:val="30"/>
        </w:rPr>
        <w:t>条</w:t>
      </w:r>
      <w:r>
        <w:rPr>
          <w:rFonts w:eastAsia="方正仿宋简体"/>
          <w:sz w:val="30"/>
          <w:szCs w:val="30"/>
        </w:rPr>
        <w:t xml:space="preserve"> 镍期货合约的最低交易保证金为合约价值的5%。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六</w:t>
      </w:r>
      <w:r>
        <w:rPr>
          <w:rFonts w:eastAsia="方正仿宋简体"/>
          <w:b/>
          <w:sz w:val="30"/>
          <w:szCs w:val="30"/>
        </w:rPr>
        <w:t>条</w:t>
      </w:r>
      <w:r>
        <w:rPr>
          <w:rFonts w:eastAsia="方正仿宋简体"/>
          <w:sz w:val="30"/>
          <w:szCs w:val="30"/>
        </w:rPr>
        <w:t xml:space="preserve"> 镍期货合约上市运行不同阶段的交易保证金收取标准为：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ind w:firstLine="1445" w:firstLineChars="600"/>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镍交易保证金比例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二十七</w:t>
      </w:r>
      <w:r>
        <w:rPr>
          <w:rFonts w:eastAsia="方正仿宋简体"/>
          <w:b/>
          <w:sz w:val="30"/>
          <w:szCs w:val="30"/>
        </w:rPr>
        <w:t>条</w:t>
      </w:r>
      <w:r>
        <w:rPr>
          <w:rFonts w:eastAsia="方正仿宋简体"/>
          <w:sz w:val="30"/>
          <w:szCs w:val="30"/>
        </w:rPr>
        <w:t xml:space="preserve"> 镍期货合约涨跌停板幅度为上一交易日结算价±4%。</w:t>
      </w:r>
    </w:p>
    <w:p>
      <w:pPr>
        <w:spacing w:line="560" w:lineRule="exact"/>
        <w:ind w:firstLine="602" w:firstLineChars="200"/>
        <w:rPr>
          <w:rFonts w:eastAsia="方正仿宋简体"/>
          <w:bCs/>
          <w:color w:val="000000"/>
          <w:sz w:val="30"/>
          <w:szCs w:val="30"/>
        </w:rPr>
      </w:pPr>
      <w:r>
        <w:rPr>
          <w:rFonts w:eastAsia="方正仿宋简体"/>
          <w:b/>
          <w:sz w:val="30"/>
          <w:szCs w:val="30"/>
        </w:rPr>
        <w:t>第</w:t>
      </w:r>
      <w:r>
        <w:rPr>
          <w:rFonts w:ascii="Times New Roman Bold" w:hAnsi="Times New Roman Bold" w:eastAsia="方正仿宋简体"/>
          <w:b/>
          <w:sz w:val="30"/>
          <w:szCs w:val="30"/>
        </w:rPr>
        <w:t>二十八</w:t>
      </w:r>
      <w:r>
        <w:rPr>
          <w:rFonts w:eastAsia="方正仿宋简体"/>
          <w:b/>
          <w:sz w:val="30"/>
          <w:szCs w:val="30"/>
        </w:rPr>
        <w:t>条</w:t>
      </w:r>
      <w:r>
        <w:rPr>
          <w:rFonts w:eastAsia="方正仿宋简体"/>
          <w:sz w:val="30"/>
          <w:szCs w:val="30"/>
        </w:rPr>
        <w:t xml:space="preserve"> 镍期货合约在不同时期的限仓比例和限仓数额具体规定如下：</w:t>
      </w:r>
      <w:r>
        <w:rPr>
          <w:rFonts w:eastAsia="方正仿宋简体"/>
          <w:b/>
          <w:color w:val="FF0000"/>
          <w:sz w:val="30"/>
          <w:szCs w:val="30"/>
        </w:rPr>
        <w:t xml:space="preserve"> </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064"/>
        <w:gridCol w:w="910"/>
        <w:gridCol w:w="965"/>
        <w:gridCol w:w="1012"/>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jc w:val="center"/>
              <w:rPr>
                <w:rFonts w:eastAsia="方正仿宋简体"/>
                <w:bCs/>
                <w:color w:val="000000"/>
                <w:sz w:val="24"/>
              </w:rPr>
            </w:pPr>
          </w:p>
        </w:tc>
        <w:tc>
          <w:tcPr>
            <w:tcW w:w="2251"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21"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35" w:type="pct"/>
            <w:vAlign w:val="center"/>
          </w:tcPr>
          <w:p>
            <w:pPr>
              <w:jc w:val="center"/>
              <w:rPr>
                <w:rFonts w:eastAsia="方正仿宋简体"/>
                <w:bCs/>
                <w:color w:val="000000"/>
                <w:sz w:val="24"/>
              </w:rPr>
            </w:pPr>
            <w:r>
              <w:rPr>
                <w:rFonts w:eastAsia="方正仿宋简体"/>
                <w:bCs/>
                <w:color w:val="000000"/>
                <w:sz w:val="24"/>
              </w:rPr>
              <w:t>客户</w:t>
            </w:r>
          </w:p>
        </w:tc>
        <w:tc>
          <w:tcPr>
            <w:tcW w:w="544"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镍</w:t>
            </w: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hint="eastAsia" w:ascii="方正仿宋简体" w:eastAsia="方正仿宋简体"/>
                <w:bCs/>
                <w:color w:val="000000"/>
                <w:sz w:val="24"/>
              </w:rPr>
              <w:t>≥</w:t>
            </w: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c>
          <w:tcPr>
            <w:tcW w:w="635" w:type="pct"/>
            <w:vAlign w:val="center"/>
          </w:tcPr>
          <w:p>
            <w:pPr>
              <w:jc w:val="center"/>
              <w:rPr>
                <w:rFonts w:eastAsia="方正仿宋简体"/>
                <w:bCs/>
                <w:color w:val="000000"/>
                <w:sz w:val="24"/>
              </w:rPr>
            </w:pPr>
            <w:r>
              <w:rPr>
                <w:rFonts w:eastAsia="方正仿宋简体"/>
                <w:bCs/>
                <w:color w:val="000000"/>
                <w:sz w:val="24"/>
              </w:rPr>
              <w:t>10</w:t>
            </w:r>
          </w:p>
        </w:tc>
        <w:tc>
          <w:tcPr>
            <w:tcW w:w="544" w:type="pct"/>
            <w:vMerge w:val="restart"/>
            <w:tcBorders>
              <w:left w:val="single" w:color="auto" w:sz="4" w:space="0"/>
            </w:tcBorders>
            <w:vAlign w:val="center"/>
          </w:tcPr>
          <w:p>
            <w:pPr>
              <w:ind w:firstLine="120" w:firstLineChars="50"/>
              <w:rPr>
                <w:rFonts w:eastAsia="方正仿宋简体"/>
                <w:bCs/>
                <w:color w:val="000000"/>
                <w:sz w:val="24"/>
              </w:rPr>
            </w:pPr>
            <w:r>
              <w:rPr>
                <w:rFonts w:eastAsia="方正仿宋简体"/>
                <w:bCs/>
                <w:color w:val="000000"/>
                <w:sz w:val="24"/>
              </w:rPr>
              <w:t>1800</w:t>
            </w:r>
          </w:p>
        </w:tc>
        <w:tc>
          <w:tcPr>
            <w:tcW w:w="576" w:type="pct"/>
            <w:vMerge w:val="restart"/>
            <w:vAlign w:val="center"/>
          </w:tcPr>
          <w:p>
            <w:pPr>
              <w:jc w:val="center"/>
              <w:rPr>
                <w:rFonts w:eastAsia="方正仿宋简体"/>
                <w:bCs/>
                <w:color w:val="000000"/>
                <w:sz w:val="24"/>
              </w:rPr>
            </w:pPr>
            <w:r>
              <w:rPr>
                <w:rFonts w:eastAsia="方正仿宋简体"/>
                <w:bCs/>
                <w:color w:val="000000"/>
                <w:sz w:val="24"/>
              </w:rPr>
              <w:t>1800</w:t>
            </w:r>
          </w:p>
        </w:tc>
        <w:tc>
          <w:tcPr>
            <w:tcW w:w="605" w:type="pct"/>
            <w:vMerge w:val="restar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w:t>
            </w:r>
          </w:p>
        </w:tc>
        <w:tc>
          <w:tcPr>
            <w:tcW w:w="429" w:type="pct"/>
            <w:vMerge w:val="restart"/>
            <w:vAlign w:val="center"/>
          </w:tcPr>
          <w:p>
            <w:pPr>
              <w:jc w:val="center"/>
              <w:rPr>
                <w:rFonts w:eastAsia="方正仿宋简体"/>
                <w:bCs/>
                <w:color w:val="000000"/>
                <w:sz w:val="24"/>
              </w:rPr>
            </w:pPr>
            <w:r>
              <w:rPr>
                <w:rFonts w:eastAsia="方正仿宋简体"/>
                <w:bCs/>
                <w:color w:val="000000"/>
                <w:sz w:val="24"/>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6000</w:t>
            </w:r>
          </w:p>
        </w:tc>
        <w:tc>
          <w:tcPr>
            <w:tcW w:w="635" w:type="pct"/>
            <w:vAlign w:val="center"/>
          </w:tcPr>
          <w:p>
            <w:pPr>
              <w:jc w:val="center"/>
              <w:rPr>
                <w:rFonts w:eastAsia="方正仿宋简体"/>
                <w:bCs/>
                <w:color w:val="000000"/>
                <w:sz w:val="24"/>
              </w:rPr>
            </w:pPr>
            <w:r>
              <w:rPr>
                <w:rFonts w:eastAsia="方正仿宋简体"/>
                <w:bCs/>
                <w:color w:val="000000"/>
                <w:sz w:val="24"/>
              </w:rPr>
              <w:t>6000</w:t>
            </w:r>
          </w:p>
        </w:tc>
        <w:tc>
          <w:tcPr>
            <w:tcW w:w="544"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二十九</w:t>
      </w:r>
      <w:r>
        <w:rPr>
          <w:rFonts w:eastAsia="方正仿宋简体"/>
          <w:b/>
          <w:sz w:val="30"/>
          <w:szCs w:val="30"/>
        </w:rPr>
        <w:t>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镍期货合约的</w:t>
      </w:r>
      <w:r>
        <w:rPr>
          <w:rFonts w:hint="eastAsia" w:eastAsia="方正仿宋简体"/>
          <w:sz w:val="30"/>
          <w:szCs w:val="30"/>
        </w:rPr>
        <w:t>一般</w:t>
      </w:r>
      <w:r>
        <w:rPr>
          <w:rFonts w:eastAsia="方正仿宋简体"/>
          <w:sz w:val="30"/>
          <w:szCs w:val="30"/>
        </w:rPr>
        <w:t>持仓应当调整为6手的整倍数（遇市场特殊情况无法按期调整的，可以顺延一天）</w:t>
      </w:r>
      <w:r>
        <w:rPr>
          <w:rFonts w:hint="eastAsia" w:eastAsia="方正仿宋简体"/>
          <w:sz w:val="30"/>
          <w:szCs w:val="30"/>
        </w:rPr>
        <w:t>；</w:t>
      </w:r>
      <w:r>
        <w:rPr>
          <w:rFonts w:eastAsia="方正仿宋简体"/>
          <w:sz w:val="30"/>
          <w:szCs w:val="30"/>
        </w:rPr>
        <w:t>进入交割月后，镍期货合约</w:t>
      </w:r>
      <w:r>
        <w:rPr>
          <w:rFonts w:hint="eastAsia" w:eastAsia="方正仿宋简体"/>
          <w:sz w:val="30"/>
          <w:szCs w:val="30"/>
        </w:rPr>
        <w:t>一般</w:t>
      </w:r>
      <w:r>
        <w:rPr>
          <w:rFonts w:eastAsia="方正仿宋简体"/>
          <w:sz w:val="30"/>
          <w:szCs w:val="30"/>
        </w:rPr>
        <w:t>持仓应当是6手的整倍数，新开仓、平仓也应当是6手的整倍数。</w:t>
      </w:r>
    </w:p>
    <w:p>
      <w:pPr>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交易所对某一镍期货合约采取强制减仓的，其申报平仓数量、</w:t>
      </w:r>
      <w:r>
        <w:rPr>
          <w:rFonts w:eastAsia="方正仿宋简体"/>
          <w:color w:val="000000"/>
          <w:sz w:val="30"/>
          <w:szCs w:val="30"/>
        </w:rPr>
        <w:t>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该镍期货合约的单位净持仓亏损大于或者等于强制减仓基准日结算价6%的所有申报平仓数量的总和为平仓数量。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w:t>
      </w:r>
      <w:r>
        <w:rPr>
          <w:rFonts w:eastAsia="方正仿宋简体"/>
          <w:sz w:val="30"/>
          <w:szCs w:val="30"/>
        </w:rPr>
        <w:t>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w:t>
      </w:r>
      <w:r>
        <w:rPr>
          <w:rFonts w:eastAsia="方正仿宋简体"/>
          <w:color w:val="000000"/>
          <w:sz w:val="30"/>
          <w:szCs w:val="30"/>
        </w:rPr>
        <w:t>之比进行分配</w:t>
      </w:r>
      <w:r>
        <w:rPr>
          <w:rFonts w:hint="eastAsia" w:eastAsia="方正仿宋简体"/>
          <w:color w:val="000000"/>
          <w:sz w:val="30"/>
          <w:szCs w:val="30"/>
        </w:rPr>
        <w:t>。</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一</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二</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三</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四</w:t>
      </w:r>
      <w:r>
        <w:rPr>
          <w:rFonts w:eastAsia="方正仿宋简体"/>
          <w:b/>
          <w:sz w:val="30"/>
          <w:szCs w:val="30"/>
        </w:rPr>
        <w:t>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上海期货交易所锡期货业务细则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ascii="楷体" w:hAnsi="楷体" w:eastAsia="楷体"/>
          <w:bCs/>
          <w:sz w:val="28"/>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为了规范上海期货交易所（以下简称交易所）锡期货相关业务，根据《上海期货交易所交易规则》《上海期货交易所锡期货合约》以及相关业务规则，制定本细则。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锡期货合约的交易单位为1吨/手。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锡期货合约的报价单位为元（人民币）/吨。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锡期货合约的最小变动价位为10元/吨。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锡期货合约月份为1～12月。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锡期货合约的交易时间为上午9:00～11:30，下午1:30～3:00和交易所规定的其他交易时间。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锡期货合约的最后交易日为合约月份的15日，遇国家法定节假日顺延，春节月份等最后交易日交易所可另行调整并通知。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锡期货合约的交易代码为SN。</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锡</w:t>
      </w:r>
      <w:r>
        <w:rPr>
          <w:rFonts w:eastAsia="方正仿宋简体"/>
          <w:sz w:val="30"/>
          <w:szCs w:val="30"/>
        </w:rPr>
        <w:t>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锡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锡期货临近交割月份套期保值交易持仓额度的申请应当在该套期保值所涉合约交割月前第二月的第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w:t>
      </w:r>
      <w:r>
        <w:rPr>
          <w:rFonts w:hint="eastAsia" w:eastAsia="方正仿宋简体"/>
          <w:sz w:val="30"/>
          <w:szCs w:val="30"/>
        </w:rPr>
        <w:t>锡</w:t>
      </w:r>
      <w:r>
        <w:rPr>
          <w:rFonts w:eastAsia="方正仿宋简体"/>
          <w:sz w:val="30"/>
          <w:szCs w:val="30"/>
        </w:rPr>
        <w:t>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锡</w:t>
      </w:r>
      <w:r>
        <w:rPr>
          <w:rFonts w:eastAsia="方正仿宋简体"/>
          <w:sz w:val="30"/>
          <w:szCs w:val="30"/>
        </w:rPr>
        <w:t>期货套期保值交易持仓额度自交割月份第一交易日起不得重复使用。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锡期货适用期货转现货、仓库交割</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锡期货实行完税交割。</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sz w:val="30"/>
          <w:szCs w:val="30"/>
        </w:rPr>
        <w:t xml:space="preserve"> 锡期货交割品级详见《上海期货交易所锡期货合约》。</w:t>
      </w:r>
    </w:p>
    <w:p>
      <w:pPr>
        <w:spacing w:line="560" w:lineRule="exact"/>
        <w:ind w:firstLine="602" w:firstLineChars="200"/>
        <w:rPr>
          <w:rFonts w:eastAsia="方正仿宋简体"/>
          <w:b/>
          <w:color w:val="FF0000"/>
          <w:sz w:val="30"/>
          <w:szCs w:val="30"/>
        </w:rPr>
      </w:pPr>
      <w:r>
        <w:rPr>
          <w:rFonts w:eastAsia="方正仿宋简体"/>
          <w:b/>
          <w:sz w:val="30"/>
          <w:szCs w:val="30"/>
        </w:rPr>
        <w:t>第十五条</w:t>
      </w:r>
      <w:r>
        <w:rPr>
          <w:rFonts w:eastAsia="方正仿宋简体"/>
          <w:sz w:val="30"/>
          <w:szCs w:val="30"/>
        </w:rPr>
        <w:t xml:space="preserve"> 锡期货交割商品应当是交易所注册的生产企业生产的注册品牌商品。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交割单位的锡锭应当是同一生产企业生产、同一牌号和级别、同一注册品牌、同一质量品级、同一块形、同一包装数量（捆重近似）的商品组成。注册生产企业自行选定注册产品捆重，但要利于组手，每捆包装采用表面作防锈处理的钢带捆扎（或者坚固程度相当的塑钢带捆扎方式），捆扎应当坚固，同时标有醒目的、不易脱落的产品标识。</w:t>
      </w:r>
    </w:p>
    <w:p>
      <w:pPr>
        <w:spacing w:line="560" w:lineRule="exact"/>
        <w:ind w:firstLine="600" w:firstLineChars="2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pPr>
        <w:spacing w:line="560" w:lineRule="exact"/>
        <w:ind w:firstLine="600" w:firstLineChars="200"/>
        <w:rPr>
          <w:rFonts w:eastAsia="方正仿宋简体"/>
          <w:sz w:val="30"/>
          <w:szCs w:val="30"/>
        </w:rPr>
      </w:pPr>
      <w:r>
        <w:rPr>
          <w:rFonts w:eastAsia="方正仿宋简体"/>
          <w:sz w:val="30"/>
          <w:szCs w:val="30"/>
        </w:rPr>
        <w:t>（三）国产锡的每锭重量为25kg±1.5kg。</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溢短和磅差：每张标准仓单所列锡锭的重量为2吨，溢短不超过±3%，磅差不超过±0.1%。</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锡期货合约的交割单位为2吨。</w:t>
      </w:r>
    </w:p>
    <w:p>
      <w:pPr>
        <w:spacing w:line="56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锡期货合约的交割日期为最后交易日后连续二个工作日。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锡期货合约交割结算的基准价为该期货合约最后交易日的结算价。</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第二十二条</w:t>
      </w:r>
      <w:r>
        <w:rPr>
          <w:rFonts w:eastAsia="方正仿宋简体"/>
          <w:sz w:val="30"/>
          <w:szCs w:val="30"/>
        </w:rPr>
        <w:t xml:space="preserve"> 交割地点：交易所交割仓库，由交易所另行公告。用于锡期货交割的锡锭应当存放在室内库房。</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期转现使用标准仓单并通过交易所结算发生锡交割实物质量纠纷的，买方应当在货款和标准仓单交换日后的25天内提出质量异议申请，并应当同时提供交易所指定检验机构出具的质量鉴定结论。</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锡期货合约的最低交易保证金为合约价值的5%。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锡期货合约上市运行不同阶段的交易保证金收取标准为：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锡交易保证金比例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合约挂牌之日起</w:t>
            </w:r>
          </w:p>
        </w:tc>
        <w:tc>
          <w:tcPr>
            <w:tcW w:w="3734" w:type="dxa"/>
            <w:tcBorders>
              <w:bottom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4495" w:type="dxa"/>
            <w:vAlign w:val="center"/>
          </w:tcPr>
          <w:p>
            <w:pPr>
              <w:widowControl/>
              <w:jc w:val="center"/>
              <w:rPr>
                <w:rFonts w:eastAsia="方正仿宋简体"/>
                <w:kern w:val="0"/>
                <w:sz w:val="24"/>
              </w:rPr>
            </w:pPr>
            <w:r>
              <w:rPr>
                <w:rFonts w:eastAsia="方正仿宋简体"/>
                <w:bCs/>
                <w:color w:val="000000"/>
                <w:kern w:val="0"/>
                <w:sz w:val="24"/>
              </w:rPr>
              <w:t>交割月前第一月的第一个交易日起</w:t>
            </w:r>
          </w:p>
        </w:tc>
        <w:tc>
          <w:tcPr>
            <w:tcW w:w="3734" w:type="dxa"/>
            <w:vAlign w:val="center"/>
          </w:tcPr>
          <w:p>
            <w:pPr>
              <w:widowControl/>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widowControl/>
              <w:jc w:val="center"/>
              <w:rPr>
                <w:rFonts w:eastAsia="方正仿宋简体"/>
                <w:kern w:val="0"/>
                <w:sz w:val="24"/>
              </w:rPr>
            </w:pPr>
            <w:r>
              <w:rPr>
                <w:rFonts w:eastAsia="方正仿宋简体"/>
                <w:bCs/>
                <w:color w:val="000000"/>
                <w:kern w:val="0"/>
                <w:sz w:val="24"/>
              </w:rPr>
              <w:t>交割月份第一个交易日起</w:t>
            </w:r>
          </w:p>
        </w:tc>
        <w:tc>
          <w:tcPr>
            <w:tcW w:w="3734" w:type="dxa"/>
            <w:vAlign w:val="center"/>
          </w:tcPr>
          <w:p>
            <w:pPr>
              <w:widowControl/>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widowControl/>
              <w:jc w:val="center"/>
              <w:rPr>
                <w:rFonts w:eastAsia="方正仿宋简体"/>
                <w:kern w:val="0"/>
                <w:sz w:val="24"/>
              </w:rPr>
            </w:pPr>
            <w:r>
              <w:rPr>
                <w:rFonts w:eastAsia="方正仿宋简体"/>
                <w:bCs/>
                <w:color w:val="000000"/>
                <w:kern w:val="0"/>
                <w:sz w:val="24"/>
              </w:rPr>
              <w:t>最后交易日前二个交易日起</w:t>
            </w:r>
          </w:p>
        </w:tc>
        <w:tc>
          <w:tcPr>
            <w:tcW w:w="3734" w:type="dxa"/>
            <w:vAlign w:val="center"/>
          </w:tcPr>
          <w:p>
            <w:pPr>
              <w:widowControl/>
              <w:jc w:val="center"/>
              <w:rPr>
                <w:rFonts w:eastAsia="方正仿宋简体"/>
                <w:kern w:val="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锡期货合约涨跌停板幅度为上一交易日结算价±4%</w:t>
      </w:r>
      <w:r>
        <w:rPr>
          <w:rFonts w:hint="eastAsia" w:eastAsia="方正仿宋简体"/>
          <w:sz w:val="30"/>
          <w:szCs w:val="30"/>
        </w:rPr>
        <w:t>。</w:t>
      </w:r>
    </w:p>
    <w:p>
      <w:pPr>
        <w:spacing w:line="560" w:lineRule="exact"/>
        <w:ind w:firstLine="602" w:firstLineChars="200"/>
        <w:rPr>
          <w:rFonts w:eastAsia="方正仿宋简体"/>
          <w:b/>
          <w:color w:val="FF0000"/>
          <w:sz w:val="30"/>
          <w:szCs w:val="30"/>
        </w:rPr>
      </w:pPr>
      <w:r>
        <w:rPr>
          <w:rFonts w:eastAsia="方正仿宋简体"/>
          <w:b/>
          <w:sz w:val="30"/>
          <w:szCs w:val="30"/>
        </w:rPr>
        <w:t>第二十八条</w:t>
      </w:r>
      <w:r>
        <w:rPr>
          <w:rFonts w:eastAsia="方正仿宋简体"/>
          <w:b/>
          <w:color w:val="FF0000"/>
          <w:sz w:val="30"/>
          <w:szCs w:val="30"/>
        </w:rPr>
        <w:t xml:space="preserve"> </w:t>
      </w:r>
      <w:r>
        <w:rPr>
          <w:rFonts w:eastAsia="方正仿宋简体"/>
          <w:sz w:val="30"/>
          <w:szCs w:val="30"/>
        </w:rPr>
        <w:t>锡期货合约在不同时期的限仓比例和限仓数额具体规定如下：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064"/>
        <w:gridCol w:w="910"/>
        <w:gridCol w:w="965"/>
        <w:gridCol w:w="1012"/>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13" w:hRule="atLeast"/>
          <w:jc w:val="center"/>
        </w:trPr>
        <w:tc>
          <w:tcPr>
            <w:tcW w:w="592" w:type="pct"/>
            <w:vMerge w:val="restart"/>
            <w:vAlign w:val="center"/>
          </w:tcPr>
          <w:p>
            <w:pPr>
              <w:jc w:val="center"/>
              <w:rPr>
                <w:rFonts w:eastAsia="方正仿宋简体"/>
                <w:bCs/>
                <w:color w:val="000000"/>
                <w:sz w:val="24"/>
              </w:rPr>
            </w:pPr>
          </w:p>
        </w:tc>
        <w:tc>
          <w:tcPr>
            <w:tcW w:w="2251"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21"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35" w:type="pct"/>
            <w:vAlign w:val="center"/>
          </w:tcPr>
          <w:p>
            <w:pPr>
              <w:jc w:val="center"/>
              <w:rPr>
                <w:rFonts w:eastAsia="方正仿宋简体"/>
                <w:bCs/>
                <w:color w:val="000000"/>
                <w:sz w:val="24"/>
              </w:rPr>
            </w:pPr>
            <w:r>
              <w:rPr>
                <w:rFonts w:eastAsia="方正仿宋简体"/>
                <w:bCs/>
                <w:color w:val="000000"/>
                <w:sz w:val="24"/>
              </w:rPr>
              <w:t>客户</w:t>
            </w:r>
          </w:p>
        </w:tc>
        <w:tc>
          <w:tcPr>
            <w:tcW w:w="544"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锡</w:t>
            </w:r>
          </w:p>
        </w:tc>
        <w:tc>
          <w:tcPr>
            <w:tcW w:w="972" w:type="pct"/>
            <w:tcBorders>
              <w:left w:val="single" w:color="auto" w:sz="4" w:space="0"/>
              <w:right w:val="single" w:color="auto" w:sz="4" w:space="0"/>
            </w:tcBorders>
            <w:vAlign w:val="center"/>
          </w:tcPr>
          <w:p>
            <w:pPr>
              <w:widowControl/>
              <w:jc w:val="center"/>
              <w:rPr>
                <w:rFonts w:eastAsia="方正仿宋简体"/>
                <w:kern w:val="0"/>
                <w:sz w:val="24"/>
              </w:rPr>
            </w:pPr>
            <w:r>
              <w:rPr>
                <w:rFonts w:hint="eastAsia" w:ascii="方正仿宋简体" w:eastAsia="方正仿宋简体"/>
                <w:bCs/>
                <w:color w:val="000000"/>
                <w:kern w:val="0"/>
                <w:sz w:val="24"/>
              </w:rPr>
              <w:t>≥</w:t>
            </w:r>
            <w:r>
              <w:rPr>
                <w:rFonts w:eastAsia="方正仿宋简体"/>
                <w:bCs/>
                <w:color w:val="000000"/>
                <w:kern w:val="0"/>
                <w:sz w:val="24"/>
              </w:rPr>
              <w:t>1.5万手</w:t>
            </w:r>
          </w:p>
        </w:tc>
        <w:tc>
          <w:tcPr>
            <w:tcW w:w="643" w:type="pct"/>
            <w:tcBorders>
              <w:lef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10</w:t>
            </w:r>
          </w:p>
        </w:tc>
        <w:tc>
          <w:tcPr>
            <w:tcW w:w="635" w:type="pct"/>
            <w:vAlign w:val="center"/>
          </w:tcPr>
          <w:p>
            <w:pPr>
              <w:widowControl/>
              <w:jc w:val="center"/>
              <w:rPr>
                <w:rFonts w:eastAsia="方正仿宋简体"/>
                <w:kern w:val="0"/>
                <w:sz w:val="24"/>
              </w:rPr>
            </w:pPr>
            <w:r>
              <w:rPr>
                <w:rFonts w:eastAsia="方正仿宋简体"/>
                <w:bCs/>
                <w:color w:val="000000"/>
                <w:kern w:val="0"/>
                <w:sz w:val="24"/>
              </w:rPr>
              <w:t>10</w:t>
            </w:r>
          </w:p>
        </w:tc>
        <w:tc>
          <w:tcPr>
            <w:tcW w:w="544" w:type="pct"/>
            <w:vMerge w:val="restart"/>
            <w:tcBorders>
              <w:lef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600</w:t>
            </w:r>
          </w:p>
        </w:tc>
        <w:tc>
          <w:tcPr>
            <w:tcW w:w="576" w:type="pct"/>
            <w:vMerge w:val="restart"/>
            <w:vAlign w:val="center"/>
          </w:tcPr>
          <w:p>
            <w:pPr>
              <w:widowControl/>
              <w:jc w:val="center"/>
              <w:rPr>
                <w:rFonts w:eastAsia="方正仿宋简体"/>
                <w:kern w:val="0"/>
                <w:sz w:val="24"/>
              </w:rPr>
            </w:pPr>
            <w:r>
              <w:rPr>
                <w:rFonts w:eastAsia="方正仿宋简体"/>
                <w:bCs/>
                <w:color w:val="000000"/>
                <w:kern w:val="0"/>
                <w:sz w:val="24"/>
              </w:rPr>
              <w:t>600</w:t>
            </w:r>
          </w:p>
        </w:tc>
        <w:tc>
          <w:tcPr>
            <w:tcW w:w="605" w:type="pct"/>
            <w:vMerge w:val="restart"/>
            <w:tcBorders>
              <w:lef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200</w:t>
            </w:r>
          </w:p>
        </w:tc>
        <w:tc>
          <w:tcPr>
            <w:tcW w:w="429" w:type="pct"/>
            <w:vMerge w:val="restart"/>
            <w:vAlign w:val="center"/>
          </w:tcPr>
          <w:p>
            <w:pPr>
              <w:widowControl/>
              <w:jc w:val="center"/>
              <w:rPr>
                <w:rFonts w:eastAsia="方正仿宋简体"/>
                <w:kern w:val="0"/>
                <w:sz w:val="24"/>
              </w:rPr>
            </w:pPr>
            <w:r>
              <w:rPr>
                <w:rFonts w:eastAsia="方正仿宋简体"/>
                <w:bCs/>
                <w:color w:val="000000"/>
                <w:kern w:val="0"/>
                <w:sz w:val="24"/>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kern w:val="0"/>
                <w:sz w:val="24"/>
              </w:rPr>
              <w:t>＜1.5万手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kern w:val="0"/>
                <w:sz w:val="24"/>
              </w:rPr>
              <w:t>1500</w:t>
            </w:r>
          </w:p>
        </w:tc>
        <w:tc>
          <w:tcPr>
            <w:tcW w:w="635" w:type="pct"/>
            <w:vAlign w:val="center"/>
          </w:tcPr>
          <w:p>
            <w:pPr>
              <w:jc w:val="center"/>
              <w:rPr>
                <w:rFonts w:eastAsia="方正仿宋简体"/>
                <w:bCs/>
                <w:color w:val="000000"/>
                <w:sz w:val="24"/>
              </w:rPr>
            </w:pPr>
            <w:r>
              <w:rPr>
                <w:rFonts w:eastAsia="方正仿宋简体"/>
                <w:bCs/>
                <w:color w:val="000000"/>
                <w:kern w:val="0"/>
                <w:sz w:val="24"/>
              </w:rPr>
              <w:t>1500</w:t>
            </w:r>
          </w:p>
        </w:tc>
        <w:tc>
          <w:tcPr>
            <w:tcW w:w="544"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adjustRightInd w:val="0"/>
        <w:spacing w:line="560" w:lineRule="exact"/>
        <w:ind w:firstLine="602" w:firstLineChars="200"/>
        <w:rPr>
          <w:rFonts w:eastAsia="方正仿宋简体"/>
          <w:sz w:val="30"/>
          <w:szCs w:val="30"/>
        </w:rPr>
      </w:pPr>
      <w:r>
        <w:rPr>
          <w:rFonts w:eastAsia="方正仿宋简体"/>
          <w:b/>
          <w:color w:val="000000"/>
          <w:kern w:val="0"/>
          <w:sz w:val="30"/>
          <w:szCs w:val="30"/>
        </w:rPr>
        <w:t>第二十九条</w:t>
      </w:r>
      <w:r>
        <w:rPr>
          <w:rFonts w:hint="eastAsia" w:eastAsia="方正仿宋简体"/>
          <w:b/>
          <w:color w:val="000000"/>
          <w:kern w:val="0"/>
          <w:sz w:val="30"/>
          <w:szCs w:val="30"/>
        </w:rPr>
        <w:t xml:space="preserve"> </w:t>
      </w:r>
      <w:r>
        <w:rPr>
          <w:rFonts w:eastAsia="方正仿宋简体"/>
          <w:sz w:val="30"/>
          <w:szCs w:val="30"/>
        </w:rPr>
        <w:t>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交易编码上的锡</w:t>
      </w:r>
      <w:r>
        <w:rPr>
          <w:rFonts w:eastAsia="方正仿宋简体"/>
          <w:sz w:val="30"/>
          <w:szCs w:val="30"/>
        </w:rPr>
        <w:t>期货合约的</w:t>
      </w:r>
      <w:r>
        <w:rPr>
          <w:rFonts w:hint="eastAsia" w:eastAsia="方正仿宋简体"/>
          <w:sz w:val="30"/>
          <w:szCs w:val="30"/>
        </w:rPr>
        <w:t>一般</w:t>
      </w:r>
      <w:r>
        <w:rPr>
          <w:rFonts w:eastAsia="方正仿宋简体"/>
          <w:sz w:val="30"/>
          <w:szCs w:val="30"/>
        </w:rPr>
        <w:t>持仓应当调整为2手的整倍数（遇市场特殊情况无法按期调整的，可以顺延一天）</w:t>
      </w:r>
      <w:r>
        <w:rPr>
          <w:rFonts w:hint="eastAsia" w:eastAsia="方正仿宋简体"/>
          <w:sz w:val="30"/>
          <w:szCs w:val="30"/>
        </w:rPr>
        <w:t>；</w:t>
      </w:r>
      <w:r>
        <w:rPr>
          <w:rFonts w:eastAsia="方正仿宋简体"/>
          <w:sz w:val="30"/>
          <w:szCs w:val="30"/>
        </w:rPr>
        <w:t>进入交割月后，</w:t>
      </w:r>
      <w:r>
        <w:rPr>
          <w:rFonts w:hint="eastAsia" w:eastAsia="方正仿宋简体"/>
          <w:sz w:val="30"/>
          <w:szCs w:val="30"/>
        </w:rPr>
        <w:t>锡</w:t>
      </w:r>
      <w:r>
        <w:rPr>
          <w:rFonts w:eastAsia="方正仿宋简体"/>
          <w:sz w:val="30"/>
          <w:szCs w:val="30"/>
        </w:rPr>
        <w:t>期货合约</w:t>
      </w:r>
      <w:r>
        <w:rPr>
          <w:rFonts w:hint="eastAsia" w:eastAsia="方正仿宋简体"/>
          <w:sz w:val="30"/>
          <w:szCs w:val="30"/>
        </w:rPr>
        <w:t>一般</w:t>
      </w:r>
      <w:r>
        <w:rPr>
          <w:rFonts w:eastAsia="方正仿宋简体"/>
          <w:sz w:val="30"/>
          <w:szCs w:val="30"/>
        </w:rPr>
        <w:t>持仓应当是2手的整倍数，新开仓、平仓也应当是2手的整倍数。</w:t>
      </w:r>
    </w:p>
    <w:p>
      <w:pPr>
        <w:spacing w:line="560" w:lineRule="exact"/>
        <w:ind w:firstLine="602" w:firstLineChars="200"/>
        <w:rPr>
          <w:rFonts w:eastAsia="方正仿宋简体"/>
          <w:b/>
          <w:sz w:val="30"/>
          <w:szCs w:val="30"/>
        </w:rPr>
      </w:pPr>
      <w:r>
        <w:rPr>
          <w:rFonts w:eastAsia="方正仿宋简体"/>
          <w:b/>
          <w:sz w:val="30"/>
          <w:szCs w:val="30"/>
        </w:rPr>
        <w:t>第三十条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锡</w:t>
      </w:r>
      <w:r>
        <w:rPr>
          <w:rFonts w:eastAsia="方正仿宋简体"/>
          <w:sz w:val="30"/>
          <w:szCs w:val="30"/>
        </w:rPr>
        <w:t>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w:t>
      </w:r>
      <w:r>
        <w:rPr>
          <w:rFonts w:hint="eastAsia" w:eastAsia="方正仿宋简体"/>
          <w:sz w:val="30"/>
          <w:szCs w:val="30"/>
        </w:rPr>
        <w:t>锡</w:t>
      </w:r>
      <w:r>
        <w:rPr>
          <w:rFonts w:eastAsia="方正仿宋简体"/>
          <w:sz w:val="30"/>
          <w:szCs w:val="30"/>
        </w:rPr>
        <w:t>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（二）</w:t>
      </w:r>
      <w:r>
        <w:rPr>
          <w:rFonts w:eastAsia="方正仿宋简体"/>
          <w:sz w:val="30"/>
          <w:szCs w:val="30"/>
        </w:rPr>
        <w:t>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一般持仓</w:t>
      </w:r>
      <w:r>
        <w:rPr>
          <w:rFonts w:eastAsia="方正仿宋简体"/>
          <w:sz w:val="30"/>
          <w:szCs w:val="30"/>
        </w:rPr>
        <w:t>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（三）平仓数量的分配</w:t>
      </w:r>
      <w:r>
        <w:rPr>
          <w:rFonts w:eastAsia="方正仿宋简体"/>
          <w:sz w:val="30"/>
          <w:szCs w:val="30"/>
        </w:rPr>
        <w:t>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。上述各级分配比例均按申报平仓数量（剩余申报平仓数量）与各级可平仓的盈利持仓数量之比进行分配</w:t>
      </w:r>
      <w:r>
        <w:rPr>
          <w:rFonts w:hint="eastAsia" w:eastAsia="方正仿宋简体"/>
          <w:sz w:val="30"/>
          <w:szCs w:val="30"/>
        </w:rPr>
        <w:t>。</w:t>
      </w:r>
    </w:p>
    <w:p>
      <w:pPr>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w:t>
      </w:r>
      <w:r>
        <w:rPr>
          <w:rFonts w:eastAsia="方正仿宋简体"/>
          <w:sz w:val="30"/>
          <w:szCs w:val="30"/>
        </w:rPr>
        <w:t>利6%以上的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adjustRightInd w:val="0"/>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第三十四条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上海期货交易所氧化铝期货业务细则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ascii="楷体" w:hAnsi="楷体" w:eastAsia="楷体"/>
          <w:bCs/>
          <w:sz w:val="28"/>
          <w:szCs w:val="30"/>
        </w:rPr>
      </w:pPr>
    </w:p>
    <w:p>
      <w:pPr>
        <w:spacing w:line="360" w:lineRule="auto"/>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为了规范上海期货交易所（以下简称交易所）氧化铝期货相关业务，根据《上海期货交易所交易规则》《上海期货交易所氧化铝期货合约》以及相关业务规则，制定本细则。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氧化铝期货合约的交易单位为20吨/手。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氧化铝期货合约的报价单位为元（人民币）/吨。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氧化铝期货合约的最小变动价位为1元/吨。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氧化铝期货合约月份为1～12月。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氧化铝期货合约的交易时间为上午9:00～11:30，下午1:30～3:00和交易所规定的其他交易时间。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氧化铝期货合约的最后交易日为合约月份的15日，遇国家法定节假日顺延，春节月份等最后交易日交易所可另行调整并通知。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氧化铝期货合约的交易代码为AO。</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氧化铝</w:t>
      </w:r>
      <w:r>
        <w:rPr>
          <w:rFonts w:eastAsia="方正仿宋简体"/>
          <w:sz w:val="30"/>
          <w:szCs w:val="30"/>
        </w:rPr>
        <w:t>期货套期保值交易持仓额度和套利交易持仓额度，所涉的一般月份是指合约挂牌至交割月前第二月的最后一个交易日，所涉的临近交割月份是指交割月前第一月和交割月份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氧化铝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氧化铝期货临近交割月份套期保值交易持仓额度的申请应当在该套期保值所涉合约交割月前第二月的第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w:t>
      </w:r>
      <w:r>
        <w:rPr>
          <w:rFonts w:hint="eastAsia" w:eastAsia="方正仿宋简体"/>
          <w:sz w:val="30"/>
          <w:szCs w:val="30"/>
        </w:rPr>
        <w:t>氧化铝</w:t>
      </w:r>
      <w:r>
        <w:rPr>
          <w:rFonts w:eastAsia="方正仿宋简体"/>
          <w:sz w:val="30"/>
          <w:szCs w:val="30"/>
        </w:rPr>
        <w:t>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氧化铝</w:t>
      </w:r>
      <w:r>
        <w:rPr>
          <w:rFonts w:eastAsia="方正仿宋简体"/>
          <w:sz w:val="30"/>
          <w:szCs w:val="30"/>
        </w:rPr>
        <w:t>期货套期保值交易持仓额度自交割月份第一交易日起不得重复使用。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氧化铝期货适用期货转现货、仓库交割、厂库交割。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氧化铝期货实行完税交割。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氧化铝期货交割品级详见《上海期货交易所氧化铝期货合约》。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交割商品</w:t>
      </w:r>
    </w:p>
    <w:p>
      <w:pPr>
        <w:spacing w:line="560" w:lineRule="exact"/>
        <w:ind w:firstLine="600" w:firstLineChars="200"/>
        <w:jc w:val="left"/>
        <w:rPr>
          <w:rFonts w:eastAsia="方正仿宋简体"/>
          <w:sz w:val="30"/>
          <w:szCs w:val="30"/>
        </w:rPr>
      </w:pPr>
      <w:r>
        <w:rPr>
          <w:rFonts w:eastAsia="方正仿宋简体"/>
          <w:sz w:val="30"/>
          <w:szCs w:val="30"/>
        </w:rPr>
        <w:t>应当是交易所批准的注册品牌或者交易所认可的生产企业生产的氧化铝（由交易所另行规定并公告）。</w:t>
      </w:r>
    </w:p>
    <w:p>
      <w:pPr>
        <w:spacing w:line="560" w:lineRule="exact"/>
        <w:ind w:firstLine="600" w:firstLineChars="200"/>
        <w:jc w:val="left"/>
        <w:rPr>
          <w:rFonts w:eastAsia="方正仿宋简体"/>
          <w:sz w:val="30"/>
          <w:szCs w:val="30"/>
        </w:rPr>
      </w:pPr>
      <w:r>
        <w:rPr>
          <w:rFonts w:eastAsia="方正仿宋简体"/>
          <w:sz w:val="30"/>
          <w:szCs w:val="30"/>
        </w:rPr>
        <w:t>交割氧化铝的主要化学成分和主要物理性能应当符合国标GB/T 24487-2022 AO-1或者AO-2牌号的规定。</w:t>
      </w:r>
    </w:p>
    <w:p>
      <w:pPr>
        <w:spacing w:line="560" w:lineRule="exact"/>
        <w:ind w:firstLine="602" w:firstLineChars="200"/>
        <w:jc w:val="left"/>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交割商品的规格</w:t>
      </w:r>
    </w:p>
    <w:p>
      <w:pPr>
        <w:spacing w:line="560" w:lineRule="exact"/>
        <w:ind w:firstLine="600" w:firstLineChars="200"/>
        <w:jc w:val="left"/>
        <w:rPr>
          <w:rFonts w:eastAsia="方正仿宋简体"/>
          <w:sz w:val="30"/>
          <w:szCs w:val="30"/>
        </w:rPr>
      </w:pPr>
      <w:r>
        <w:rPr>
          <w:rFonts w:eastAsia="方正仿宋简体"/>
          <w:sz w:val="30"/>
          <w:szCs w:val="30"/>
        </w:rPr>
        <w:t>每一标准仓单的国产氧化铝，应当是同一企业生产、同一注册商标、同一牌号、同一包装规格的商品组成，并且组成每一标准仓单的氧化铝生产日期应当不超过连续15日，且以最早日期作为该标准仓单的生产日期。</w:t>
      </w:r>
    </w:p>
    <w:p>
      <w:pPr>
        <w:spacing w:line="560" w:lineRule="exact"/>
        <w:ind w:firstLine="600" w:firstLineChars="200"/>
        <w:jc w:val="left"/>
        <w:rPr>
          <w:rFonts w:eastAsia="方正仿宋简体"/>
          <w:sz w:val="30"/>
          <w:szCs w:val="30"/>
        </w:rPr>
      </w:pPr>
      <w:r>
        <w:rPr>
          <w:rFonts w:eastAsia="方正仿宋简体"/>
          <w:sz w:val="30"/>
          <w:szCs w:val="30"/>
        </w:rPr>
        <w:t>每一标准仓单的进口氧化铝，应当是同一企业生产、同一牌号、同一生产日期、同一包装规格的商品组成。</w:t>
      </w:r>
    </w:p>
    <w:p>
      <w:pPr>
        <w:spacing w:line="560" w:lineRule="exact"/>
        <w:ind w:firstLine="600" w:firstLineChars="200"/>
        <w:jc w:val="left"/>
        <w:rPr>
          <w:rFonts w:eastAsia="方正仿宋简体"/>
          <w:sz w:val="30"/>
          <w:szCs w:val="30"/>
        </w:rPr>
      </w:pPr>
      <w:r>
        <w:rPr>
          <w:rFonts w:eastAsia="方正仿宋简体"/>
          <w:sz w:val="30"/>
          <w:szCs w:val="30"/>
        </w:rPr>
        <w:t>国产氧化铝的生产日期是指包装日期，进口氧化铝的生产日期指进口货物报关单上载明的进口日期。</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交割氧化铝的包装</w:t>
      </w:r>
    </w:p>
    <w:p>
      <w:pPr>
        <w:spacing w:line="560" w:lineRule="exact"/>
        <w:ind w:firstLine="600" w:firstLineChars="200"/>
        <w:rPr>
          <w:rFonts w:eastAsia="方正仿宋简体"/>
          <w:sz w:val="30"/>
          <w:szCs w:val="30"/>
        </w:rPr>
      </w:pPr>
      <w:r>
        <w:rPr>
          <w:rFonts w:eastAsia="方正仿宋简体"/>
          <w:sz w:val="30"/>
          <w:szCs w:val="30"/>
        </w:rPr>
        <w:t>交割氧化铝的包装应当符合《上海期货交易所交割氧化铝注册及认可管理规定》的规定。</w:t>
      </w:r>
    </w:p>
    <w:p>
      <w:pPr>
        <w:spacing w:line="560" w:lineRule="exact"/>
        <w:ind w:firstLine="600" w:firstLineChars="200"/>
        <w:rPr>
          <w:rFonts w:eastAsia="方正仿宋简体"/>
          <w:sz w:val="30"/>
          <w:szCs w:val="30"/>
        </w:rPr>
      </w:pPr>
      <w:r>
        <w:rPr>
          <w:rFonts w:eastAsia="方正仿宋简体"/>
          <w:sz w:val="30"/>
          <w:szCs w:val="30"/>
        </w:rPr>
        <w:t>交割氧化铝的包装规格应当为每袋净含量1.5±0.15吨。</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（二）进口商品：应当提供交易所指定检验机构出具的质检证书、产地证明书、进口货物报关单、海关代征增值税专用缴款书，经交易所审定合格为有效。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sz w:val="30"/>
          <w:szCs w:val="30"/>
        </w:rPr>
        <w:t>交割氧化铝按净含量进行计量。每张标准仓单溢短不超过±1%，磅差不超过±0.3%。</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氧化铝期货合约的交割单位为300吨。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氧化铝期货合约的交割日期为最后交易日后连续二个工作日。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氧化铝期货合约交割结算的基准价为该期货合约最后5个有成交交易日的结算价的算术平均值。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w:t>
      </w:r>
      <w:bookmarkStart w:id="3" w:name="_Hlk137628963"/>
      <w:r>
        <w:rPr>
          <w:rFonts w:eastAsia="方正仿宋简体"/>
          <w:sz w:val="30"/>
          <w:szCs w:val="30"/>
        </w:rPr>
        <w:t>，由交易所另行公告</w:t>
      </w:r>
      <w:bookmarkEnd w:id="3"/>
      <w:r>
        <w:rPr>
          <w:rFonts w:eastAsia="方正仿宋简体"/>
          <w:sz w:val="30"/>
          <w:szCs w:val="30"/>
        </w:rPr>
        <w:t>。</w:t>
      </w:r>
    </w:p>
    <w:p>
      <w:pPr>
        <w:spacing w:line="560" w:lineRule="exact"/>
        <w:ind w:firstLine="601"/>
        <w:rPr>
          <w:rFonts w:eastAsia="方正仿宋简体"/>
          <w:color w:val="000000"/>
          <w:kern w:val="0"/>
          <w:sz w:val="30"/>
          <w:szCs w:val="30"/>
        </w:rPr>
      </w:pPr>
      <w:r>
        <w:rPr>
          <w:rFonts w:eastAsia="方正仿宋简体"/>
          <w:b/>
          <w:color w:val="000000"/>
          <w:kern w:val="0"/>
          <w:sz w:val="30"/>
          <w:szCs w:val="30"/>
        </w:rPr>
        <w:t>第二十四条</w:t>
      </w:r>
      <w:r>
        <w:rPr>
          <w:rFonts w:eastAsia="方正仿宋简体"/>
          <w:color w:val="000000"/>
          <w:kern w:val="0"/>
          <w:sz w:val="30"/>
          <w:szCs w:val="30"/>
        </w:rPr>
        <w:t xml:space="preserve"> 包装袋异议的处理</w:t>
      </w:r>
    </w:p>
    <w:p>
      <w:pPr>
        <w:spacing w:line="560" w:lineRule="exact"/>
        <w:ind w:firstLine="601"/>
        <w:rPr>
          <w:rFonts w:eastAsia="方正仿宋简体"/>
          <w:color w:val="000000"/>
          <w:kern w:val="0"/>
          <w:sz w:val="30"/>
          <w:szCs w:val="30"/>
        </w:rPr>
      </w:pPr>
      <w:r>
        <w:rPr>
          <w:rFonts w:eastAsia="方正仿宋简体"/>
          <w:color w:val="000000"/>
          <w:kern w:val="0"/>
          <w:sz w:val="30"/>
          <w:szCs w:val="30"/>
        </w:rPr>
        <w:t>（一）交割氧化铝包装袋异议不属于交割违约。</w:t>
      </w:r>
    </w:p>
    <w:p>
      <w:pPr>
        <w:spacing w:line="560" w:lineRule="exact"/>
        <w:ind w:firstLine="601"/>
        <w:rPr>
          <w:rFonts w:eastAsia="方正仿宋简体"/>
          <w:sz w:val="30"/>
          <w:szCs w:val="30"/>
        </w:rPr>
      </w:pPr>
      <w:r>
        <w:rPr>
          <w:rFonts w:eastAsia="方正仿宋简体"/>
          <w:color w:val="000000"/>
          <w:kern w:val="0"/>
          <w:sz w:val="30"/>
          <w:szCs w:val="30"/>
        </w:rPr>
        <w:t>（二）货主对交割氧化铝包装袋提出异议的，应当由生产企业、交割仓库或者卖方等配合解决。</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期转现使用标准仓单并通过交易所结算发生氧化铝交割实物质量纠纷的，买方应当在货款和标准仓单交换日后的25天内提出质量异议申请，并应当同时提供交易所指定检验机构出具的质量鉴定结论。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氧化铝仓库标准仓单的有效期为该批次产品最早生产日期起180天以内，并且该批次产品应在生产日期起的60天内进入交割仓库方可制成标准仓单。</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到交割仓库的氧化铝应该包装完整、清洁。交割仓库在验收时应当对整批交割商品进行检查，发现有明显雨渍、受潮结块、污染等影响使用的情况，予以拒收，不得用于交割。</w:t>
      </w:r>
    </w:p>
    <w:p>
      <w:pPr>
        <w:spacing w:line="560" w:lineRule="exact"/>
        <w:ind w:firstLine="600" w:firstLineChars="200"/>
        <w:rPr>
          <w:rFonts w:eastAsia="方正仿宋简体"/>
          <w:sz w:val="30"/>
          <w:szCs w:val="30"/>
        </w:rPr>
      </w:pPr>
      <w:r>
        <w:rPr>
          <w:rFonts w:eastAsia="方正仿宋简体"/>
          <w:sz w:val="30"/>
          <w:szCs w:val="30"/>
        </w:rPr>
        <w:t>到库氧化铝遇外包装袋明显破损的，应当重新进行打包，方可用于交割。包装费用由货主承担。</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用于交割的氧化铝每一仓库标准仓单的标的实物应当作为一个堆放垛位进行堆放。</w:t>
      </w:r>
    </w:p>
    <w:p>
      <w:pPr>
        <w:spacing w:line="56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实物交割完成后，若买方对交割商品的质量、数量有异议的（有异议的</w:t>
      </w:r>
      <w:r>
        <w:rPr>
          <w:rFonts w:eastAsia="方正仿宋简体"/>
          <w:sz w:val="30"/>
          <w:szCs w:val="30"/>
        </w:rPr>
        <w:t>氧化铝</w:t>
      </w:r>
      <w:r>
        <w:rPr>
          <w:rFonts w:eastAsia="方正仿宋简体"/>
          <w:color w:val="000000"/>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用于交割的氧化铝每批商品的有效期应当涵盖本次交割的最后交割日。即使交割氧化铝每批商品的有效期截止时间早于质量异议期的提交截止时间，如果该批商品的质量鉴定结论不合格，卖方对该批交割商品的实际质量仍需承担全部责任。</w:t>
      </w:r>
    </w:p>
    <w:p>
      <w:pPr>
        <w:spacing w:line="560" w:lineRule="exact"/>
        <w:jc w:val="center"/>
        <w:rPr>
          <w:rFonts w:ascii="方正仿宋简体" w:hAnsi="黑体" w:eastAsia="方正仿宋简体"/>
          <w:b/>
          <w:sz w:val="30"/>
          <w:szCs w:val="30"/>
        </w:rPr>
      </w:pPr>
      <w:r>
        <w:rPr>
          <w:rFonts w:hint="eastAsia" w:ascii="方正仿宋简体" w:hAnsi="黑体" w:eastAsia="方正仿宋简体"/>
          <w:b/>
          <w:sz w:val="30"/>
          <w:szCs w:val="30"/>
        </w:rPr>
        <w:t>第三节 厂库交割</w:t>
      </w:r>
    </w:p>
    <w:p>
      <w:pPr>
        <w:spacing w:line="560" w:lineRule="exact"/>
        <w:ind w:firstLine="602" w:firstLineChars="200"/>
        <w:rPr>
          <w:rFonts w:eastAsia="方正仿宋简体"/>
          <w:sz w:val="30"/>
          <w:szCs w:val="30"/>
        </w:rPr>
      </w:pPr>
      <w:r>
        <w:rPr>
          <w:rFonts w:eastAsia="方正仿宋简体"/>
          <w:b/>
          <w:sz w:val="30"/>
          <w:szCs w:val="30"/>
        </w:rPr>
        <w:t>第三十条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厂库签发厂库标准仓单前，应当向交易所提交厂库标准仓单签发预报。预报内容包括品种、商标（适用生产类型的厂库）、会员单位、货主名称、拟申请签发仓单数量等。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氧化铝厂库标准仓单的交割有效期为厂库标准仓单生成之日起180日。</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厂库标准仓单对应出库商品应当是交易所批准的注册企业生产的、且附有相应的质量证明书的注册商品。</w:t>
      </w:r>
    </w:p>
    <w:p>
      <w:pPr>
        <w:spacing w:line="560" w:lineRule="exact"/>
        <w:ind w:firstLine="600" w:firstLineChars="200"/>
        <w:rPr>
          <w:rFonts w:eastAsia="方正仿宋简体"/>
          <w:sz w:val="30"/>
          <w:szCs w:val="30"/>
        </w:rPr>
      </w:pPr>
      <w:r>
        <w:rPr>
          <w:rFonts w:eastAsia="方正仿宋简体"/>
          <w:sz w:val="30"/>
          <w:szCs w:val="30"/>
        </w:rPr>
        <w:t>厂库标准仓单对应出库商品的生产日期（即包装日期）不得早于厂库标准仓单货主和厂库之间已确定的提货日之前的第一百八十日。</w:t>
      </w:r>
    </w:p>
    <w:p>
      <w:pPr>
        <w:spacing w:line="56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当在拟提货日倒数第5个工作日前通过标准仓单管理系统向厂库提交提货申请。申请内容包括厂库标准仓单编号、数量、拟提货日、提货方式、提货计划（每日提货量）、提货人身份证明、联系电话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（二）厂库在货主提交提货申请后的3个工作日内、参照货主提交的提货日及企业的生产计划等，确认货主的提货申请。</w:t>
      </w:r>
    </w:p>
    <w:p>
      <w:pPr>
        <w:spacing w:line="560" w:lineRule="exact"/>
        <w:ind w:firstLine="600" w:firstLineChars="200"/>
        <w:rPr>
          <w:rFonts w:eastAsia="方正仿宋简体"/>
          <w:sz w:val="30"/>
          <w:szCs w:val="30"/>
        </w:rPr>
      </w:pPr>
      <w:r>
        <w:rPr>
          <w:rFonts w:eastAsia="方正仿宋简体"/>
          <w:sz w:val="30"/>
          <w:szCs w:val="30"/>
        </w:rPr>
        <w:t>当发生下列情况之一时，厂库可以参照各个货主申请提货日的先后、提货计划及生产计划等统筹安排发货，并在货主提交提货申请后的3个工作日内，向货主提供一个可供选择的提货时间范围和发货计划（每日发货量）。厂库提供的可供选择的最早提货时间，应当在货主提交的拟提货日后的合理范围内。货主无异议的，可选择并确定其中一日为提货日，并确定发货计划。有异议的，可重新和厂库协商直至双方确定一致的提货日和发货计划：</w:t>
      </w:r>
    </w:p>
    <w:p>
      <w:pPr>
        <w:spacing w:line="560" w:lineRule="exact"/>
        <w:ind w:firstLine="600" w:firstLineChars="200"/>
        <w:rPr>
          <w:rFonts w:eastAsia="方正仿宋简体"/>
          <w:sz w:val="30"/>
          <w:szCs w:val="30"/>
        </w:rPr>
      </w:pPr>
      <w:r>
        <w:rPr>
          <w:rFonts w:eastAsia="方正仿宋简体"/>
          <w:sz w:val="30"/>
          <w:szCs w:val="30"/>
        </w:rPr>
        <w:t>1</w:t>
      </w:r>
      <w:r>
        <w:rPr>
          <w:rFonts w:hint="eastAsia" w:eastAsia="方正仿宋简体"/>
          <w:sz w:val="30"/>
          <w:szCs w:val="30"/>
        </w:rPr>
        <w:t>.</w:t>
      </w:r>
      <w:r>
        <w:rPr>
          <w:rFonts w:eastAsia="方正仿宋简体"/>
          <w:sz w:val="30"/>
          <w:szCs w:val="30"/>
        </w:rPr>
        <w:t>货主提交的拟提货日有多个持有厂库标准仓单的货主同时申请提货，且日提货总量超出厂库的日发货量时。</w:t>
      </w:r>
    </w:p>
    <w:p>
      <w:pPr>
        <w:spacing w:line="560" w:lineRule="exact"/>
        <w:ind w:firstLine="600" w:firstLineChars="200"/>
        <w:rPr>
          <w:rFonts w:eastAsia="方正仿宋简体"/>
          <w:sz w:val="30"/>
          <w:szCs w:val="30"/>
        </w:rPr>
      </w:pPr>
      <w:r>
        <w:rPr>
          <w:rFonts w:eastAsia="方正仿宋简体"/>
          <w:sz w:val="30"/>
          <w:szCs w:val="30"/>
        </w:rPr>
        <w:t>2</w:t>
      </w:r>
      <w:r>
        <w:rPr>
          <w:rFonts w:hint="eastAsia" w:eastAsia="方正仿宋简体"/>
          <w:sz w:val="30"/>
          <w:szCs w:val="30"/>
        </w:rPr>
        <w:t>.</w:t>
      </w:r>
      <w:r>
        <w:rPr>
          <w:rFonts w:eastAsia="方正仿宋简体"/>
          <w:sz w:val="30"/>
          <w:szCs w:val="30"/>
        </w:rPr>
        <w:t>货主通过铁路提货，厂库因火车协调问题，无法确认提货申请。</w:t>
      </w:r>
    </w:p>
    <w:p>
      <w:pPr>
        <w:spacing w:line="560" w:lineRule="exact"/>
        <w:ind w:firstLine="600" w:firstLineChars="200"/>
        <w:rPr>
          <w:rFonts w:eastAsia="方正仿宋简体"/>
          <w:sz w:val="30"/>
          <w:szCs w:val="30"/>
        </w:rPr>
      </w:pPr>
      <w:r>
        <w:rPr>
          <w:rFonts w:eastAsia="方正仿宋简体"/>
          <w:sz w:val="30"/>
          <w:szCs w:val="30"/>
        </w:rPr>
        <w:t>（三）由第（二）项所述造成货主提货时间的延迟，厂库不承担经济责任。但厂库应及时报交易所书面备案，阐明原因。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出库商品重量以厂库按净含量进行检重。</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货主应当按约定的提货日和发货计划到厂库提货。过了提货日但在约定的提货日后15日内（含第十五日）到厂库提货，或者因非厂库过错的原因而无法按约定的日发货计划提货，厂库仍应按当时各货主的提货情况统一安排发货计划，直至全部发完。货主应当向厂库支付滞纳金。</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因货主原因而造成发货延迟的处理，双方约定另行协商处理的，按双方协商而定。</w:t>
      </w:r>
    </w:p>
    <w:p>
      <w:pPr>
        <w:spacing w:line="560" w:lineRule="exact"/>
        <w:ind w:firstLine="602" w:firstLineChars="200"/>
        <w:rPr>
          <w:rFonts w:eastAsia="方正仿宋简体"/>
          <w:sz w:val="30"/>
          <w:szCs w:val="30"/>
        </w:rPr>
      </w:pPr>
      <w:r>
        <w:rPr>
          <w:rFonts w:eastAsia="方正仿宋简体"/>
          <w:b/>
          <w:sz w:val="30"/>
          <w:szCs w:val="30"/>
        </w:rPr>
        <w:t>第三十六条</w:t>
      </w:r>
      <w:r>
        <w:rPr>
          <w:rFonts w:eastAsia="方正仿宋简体"/>
          <w:sz w:val="30"/>
          <w:szCs w:val="30"/>
        </w:rPr>
        <w:t xml:space="preserve"> 货主未在约定的提货日后15日内（含第十五日）到厂库提货，厂库标准仓单被注销，货主应当向厂库支付滞纳金，对应商品转为现货，具体提货事宜由双方自行协商。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第三十七条 </w:t>
      </w:r>
      <w:r>
        <w:rPr>
          <w:rFonts w:eastAsia="方正仿宋简体"/>
          <w:sz w:val="30"/>
          <w:szCs w:val="30"/>
        </w:rPr>
        <w:t>货主在提货日到库提货，厂库未按约定的发货计划发货，但在约定的提货日后15日内（含第十五日）完成了相应商品的发货，厂库应向货主支付赔偿金。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第三十八条 </w:t>
      </w:r>
      <w:r>
        <w:rPr>
          <w:rFonts w:eastAsia="方正仿宋简体"/>
          <w:sz w:val="30"/>
          <w:szCs w:val="30"/>
        </w:rPr>
        <w:t>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赔偿结算价×应发而未发的商品数量×120%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 xml:space="preserve">第三十九条 </w:t>
      </w:r>
      <w:r>
        <w:rPr>
          <w:rFonts w:eastAsia="方正仿宋简体"/>
          <w:sz w:val="30"/>
          <w:szCs w:val="30"/>
        </w:rPr>
        <w:t>厂库发生第三十七条、第三十八条中的违约行为的，由厂库直接向货主支付赔偿金、返还货款和追加赔偿金。厂库未支付的或者支付数额不足的，交易所按照以下步骤向货主支付：</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p>
    <w:p>
      <w:pPr>
        <w:spacing w:line="560" w:lineRule="exact"/>
        <w:ind w:firstLine="602" w:firstLineChars="200"/>
        <w:rPr>
          <w:rFonts w:eastAsia="方正仿宋简体"/>
          <w:b/>
          <w:sz w:val="30"/>
          <w:szCs w:val="30"/>
        </w:rPr>
      </w:pPr>
      <w:r>
        <w:rPr>
          <w:rFonts w:eastAsia="方正仿宋简体"/>
          <w:b/>
          <w:sz w:val="30"/>
          <w:szCs w:val="30"/>
        </w:rPr>
        <w:t xml:space="preserve">第四十条 </w:t>
      </w:r>
      <w:r>
        <w:rPr>
          <w:rFonts w:eastAsia="方正仿宋简体"/>
          <w:sz w:val="30"/>
          <w:szCs w:val="30"/>
        </w:rPr>
        <w:t>货主发生第三十五条、第三十六条中的违约行为的，由货主直接向厂库支付滞纳金。货主未支付的或者支付数额不足的，厂库可以通过包括法律程序在内的其他手段向货主追索。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 xml:space="preserve">第四十一条 </w:t>
      </w:r>
      <w:r>
        <w:rPr>
          <w:rFonts w:eastAsia="方正仿宋简体"/>
          <w:sz w:val="30"/>
          <w:szCs w:val="30"/>
        </w:rPr>
        <w:t>发生第三十五条、第三十六条、第三十七条、第三十八条所述情况给厂库或者货主其中一方造成损失的，双方约定另行协商处理的，按双方协议而定，书面报交易所备案。</w:t>
      </w:r>
    </w:p>
    <w:p>
      <w:pPr>
        <w:spacing w:line="560" w:lineRule="exact"/>
        <w:ind w:firstLine="602" w:firstLineChars="200"/>
        <w:rPr>
          <w:rFonts w:eastAsia="方正仿宋简体"/>
          <w:sz w:val="30"/>
          <w:szCs w:val="30"/>
        </w:rPr>
      </w:pPr>
      <w:r>
        <w:rPr>
          <w:rFonts w:eastAsia="方正仿宋简体"/>
          <w:b/>
          <w:sz w:val="30"/>
          <w:szCs w:val="30"/>
        </w:rPr>
        <w:t>第四十二条</w:t>
      </w:r>
      <w:r>
        <w:rPr>
          <w:rFonts w:eastAsia="方正仿宋简体"/>
          <w:sz w:val="30"/>
          <w:szCs w:val="30"/>
        </w:rPr>
        <w:t xml:space="preserve"> 质量争议处理 </w:t>
      </w:r>
    </w:p>
    <w:p>
      <w:pPr>
        <w:spacing w:line="560" w:lineRule="exact"/>
        <w:ind w:firstLine="600" w:firstLineChars="200"/>
        <w:rPr>
          <w:rFonts w:eastAsia="方正仿宋简体"/>
          <w:sz w:val="30"/>
          <w:szCs w:val="30"/>
        </w:rPr>
      </w:pPr>
      <w:r>
        <w:rPr>
          <w:rFonts w:eastAsia="方正仿宋简体"/>
          <w:sz w:val="30"/>
          <w:szCs w:val="30"/>
        </w:rPr>
        <w:t>厂库标准仓单货主对交割商品的质量有异议的，应当在标准仓单注销日后二十个工作日内（质量有异议的交割商品应当在厂库提货地内）向交易所提出书面申请，同时提供交易所指定检验机构出具的质量鉴定结论。逾期未提出申请的，视为对所交割商品无异议，交易所不再受理交割商品有异议的申请。</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第四十三条</w:t>
      </w:r>
      <w:r>
        <w:rPr>
          <w:rFonts w:eastAsia="方正仿宋简体"/>
          <w:sz w:val="30"/>
          <w:szCs w:val="30"/>
        </w:rPr>
        <w:t xml:space="preserve"> 氧化铝期货合约的最低交易保证金为合约价值的5%。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第四十四条</w:t>
      </w:r>
      <w:r>
        <w:rPr>
          <w:rFonts w:eastAsia="方正仿宋简体"/>
          <w:sz w:val="30"/>
          <w:szCs w:val="30"/>
        </w:rPr>
        <w:t xml:space="preserve"> 氧化铝期货合约上市运行不同阶段的交易保证金收取标准为：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
                <w:bCs/>
                <w:color w:val="000000"/>
                <w:sz w:val="24"/>
              </w:rPr>
            </w:pPr>
            <w:r>
              <w:rPr>
                <w:rFonts w:eastAsia="方正仿宋简体"/>
                <w:b/>
                <w:bCs/>
                <w:color w:val="000000"/>
                <w:sz w:val="24"/>
              </w:rPr>
              <w:t>氧化铝交易保证金比例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氧化铝期货合约涨跌停板幅度为上一交易日结算价±4%。</w:t>
      </w:r>
    </w:p>
    <w:p>
      <w:pPr>
        <w:spacing w:line="560" w:lineRule="exact"/>
        <w:ind w:firstLine="602" w:firstLineChars="200"/>
        <w:rPr>
          <w:rFonts w:eastAsia="方正仿宋简体"/>
          <w:bCs/>
          <w:color w:val="000000"/>
          <w:sz w:val="24"/>
        </w:rPr>
      </w:pPr>
      <w:r>
        <w:rPr>
          <w:rFonts w:eastAsia="方正仿宋简体"/>
          <w:b/>
          <w:sz w:val="30"/>
          <w:szCs w:val="30"/>
        </w:rPr>
        <w:t>第四十六条</w:t>
      </w:r>
      <w:r>
        <w:rPr>
          <w:rFonts w:eastAsia="方正仿宋简体"/>
          <w:sz w:val="30"/>
          <w:szCs w:val="30"/>
        </w:rPr>
        <w:t xml:space="preserve"> 氧化铝期货合约在不同时期的限仓比例和限仓数额具体规定如下：</w:t>
      </w:r>
      <w:r>
        <w:rPr>
          <w:rFonts w:eastAsia="方正仿宋简体"/>
          <w:b/>
          <w:color w:val="FF0000"/>
          <w:sz w:val="30"/>
          <w:szCs w:val="30"/>
        </w:rPr>
        <w:t xml:space="preserve"> </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2"/>
        <w:gridCol w:w="1631"/>
        <w:gridCol w:w="1425"/>
        <w:gridCol w:w="1212"/>
        <w:gridCol w:w="1063"/>
        <w:gridCol w:w="1050"/>
        <w:gridCol w:w="10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7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1827"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360"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235"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7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827" w:type="pct"/>
            <w:gridSpan w:val="2"/>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w:t>
            </w:r>
            <w:r>
              <w:rPr>
                <w:rFonts w:eastAsia="方正仿宋简体"/>
                <w:bCs/>
                <w:color w:val="000000"/>
                <w:kern w:val="0"/>
                <w:sz w:val="24"/>
              </w:rPr>
              <w:t>手</w:t>
            </w:r>
            <w:r>
              <w:rPr>
                <w:rFonts w:hint="eastAsia" w:eastAsia="方正仿宋简体"/>
                <w:bCs/>
                <w:color w:val="000000"/>
                <w:kern w:val="0"/>
                <w:sz w:val="24"/>
                <w:lang w:eastAsia="zh-CN"/>
              </w:rPr>
              <w:t>）</w:t>
            </w:r>
          </w:p>
        </w:tc>
        <w:tc>
          <w:tcPr>
            <w:tcW w:w="1360"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235"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7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7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852"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72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63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2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60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7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氧化铝</w:t>
            </w:r>
          </w:p>
        </w:tc>
        <w:tc>
          <w:tcPr>
            <w:tcW w:w="975"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eastAsia="方正仿宋简体"/>
                <w:b w:val="0"/>
                <w:bCs/>
                <w:strike/>
                <w:color w:val="auto"/>
                <w:sz w:val="24"/>
              </w:rPr>
            </w:pPr>
            <w:r>
              <w:rPr>
                <w:rFonts w:hint="eastAsia"/>
                <w:b w:val="0"/>
                <w:bCs/>
                <w:color w:val="auto"/>
                <w:kern w:val="0"/>
                <w:sz w:val="24"/>
              </w:rPr>
              <w:t>8000</w:t>
            </w:r>
          </w:p>
        </w:tc>
        <w:tc>
          <w:tcPr>
            <w:tcW w:w="852"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eastAsia="方正仿宋简体"/>
                <w:b w:val="0"/>
                <w:bCs/>
                <w:dstrike/>
                <w:color w:val="auto"/>
                <w:sz w:val="24"/>
              </w:rPr>
            </w:pPr>
            <w:r>
              <w:rPr>
                <w:rFonts w:hint="eastAsia"/>
                <w:b w:val="0"/>
                <w:bCs/>
                <w:color w:val="auto"/>
                <w:kern w:val="0"/>
                <w:sz w:val="24"/>
              </w:rPr>
              <w:t>8000</w:t>
            </w:r>
          </w:p>
        </w:tc>
        <w:tc>
          <w:tcPr>
            <w:tcW w:w="724"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900</w:t>
            </w:r>
          </w:p>
        </w:tc>
        <w:tc>
          <w:tcPr>
            <w:tcW w:w="635"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900</w:t>
            </w:r>
          </w:p>
        </w:tc>
        <w:tc>
          <w:tcPr>
            <w:tcW w:w="628"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300</w:t>
            </w:r>
          </w:p>
        </w:tc>
        <w:tc>
          <w:tcPr>
            <w:tcW w:w="607" w:type="pct"/>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hint="eastAsia"/>
                <w:b w:val="0"/>
                <w:bCs/>
                <w:color w:val="auto"/>
                <w:kern w:val="0"/>
                <w:sz w:val="24"/>
              </w:rPr>
            </w:pPr>
            <w:r>
              <w:rPr>
                <w:rFonts w:hint="eastAsia"/>
                <w:b w:val="0"/>
                <w:bCs/>
                <w:color w:val="auto"/>
                <w:kern w:val="0"/>
                <w:sz w:val="24"/>
              </w:rPr>
              <w:t>300</w:t>
            </w: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color w:val="000000"/>
          <w:kern w:val="0"/>
          <w:sz w:val="30"/>
          <w:szCs w:val="30"/>
        </w:rPr>
        <w:t>第四十七条</w:t>
      </w:r>
      <w:r>
        <w:rPr>
          <w:rFonts w:hint="eastAsia" w:eastAsia="方正仿宋简体"/>
          <w:b/>
          <w:color w:val="000000"/>
          <w:kern w:val="0"/>
          <w:sz w:val="30"/>
          <w:szCs w:val="30"/>
        </w:rPr>
        <w:t xml:space="preserve"> </w:t>
      </w:r>
      <w:r>
        <w:rPr>
          <w:rFonts w:eastAsia="方正仿宋简体"/>
          <w:sz w:val="30"/>
          <w:szCs w:val="30"/>
        </w:rPr>
        <w:t>交割月前第一月</w:t>
      </w:r>
      <w:r>
        <w:rPr>
          <w:rFonts w:eastAsia="方正仿宋简体"/>
          <w:color w:val="000000"/>
          <w:sz w:val="30"/>
          <w:szCs w:val="30"/>
        </w:rPr>
        <w:t>的最后一个交易日收盘前，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交易编码上的氧化铝</w:t>
      </w:r>
      <w:r>
        <w:rPr>
          <w:rFonts w:eastAsia="方正仿宋简体"/>
          <w:color w:val="000000"/>
          <w:sz w:val="30"/>
          <w:szCs w:val="30"/>
        </w:rPr>
        <w:t>期货合约的</w:t>
      </w:r>
      <w:r>
        <w:rPr>
          <w:rFonts w:hint="eastAsia" w:eastAsia="方正仿宋简体"/>
          <w:color w:val="000000"/>
          <w:sz w:val="30"/>
          <w:szCs w:val="30"/>
        </w:rPr>
        <w:t>一般</w:t>
      </w:r>
      <w:r>
        <w:rPr>
          <w:rFonts w:eastAsia="方正仿宋简体"/>
          <w:color w:val="000000"/>
          <w:sz w:val="30"/>
          <w:szCs w:val="30"/>
        </w:rPr>
        <w:t>持仓应当调整为</w:t>
      </w:r>
      <w:r>
        <w:rPr>
          <w:rFonts w:hint="eastAsia" w:eastAsia="方正仿宋简体"/>
          <w:color w:val="000000"/>
          <w:sz w:val="30"/>
          <w:szCs w:val="30"/>
        </w:rPr>
        <w:t>1</w:t>
      </w:r>
      <w:r>
        <w:rPr>
          <w:rFonts w:eastAsia="方正仿宋简体"/>
          <w:color w:val="000000"/>
          <w:sz w:val="30"/>
          <w:szCs w:val="30"/>
        </w:rPr>
        <w:t>5手的整倍数（遇市场特殊情况无法按期调整的，可以顺延一天）</w:t>
      </w:r>
      <w:r>
        <w:rPr>
          <w:rFonts w:hint="eastAsia" w:eastAsia="方正仿宋简体"/>
          <w:color w:val="000000"/>
          <w:sz w:val="30"/>
          <w:szCs w:val="30"/>
        </w:rPr>
        <w:t>。</w:t>
      </w:r>
      <w:r>
        <w:rPr>
          <w:rFonts w:eastAsia="方正仿宋简体"/>
          <w:color w:val="000000"/>
          <w:sz w:val="30"/>
          <w:szCs w:val="30"/>
        </w:rPr>
        <w:t>进入交割月后，</w:t>
      </w:r>
      <w:r>
        <w:rPr>
          <w:rFonts w:hint="eastAsia" w:eastAsia="方正仿宋简体"/>
          <w:color w:val="000000"/>
          <w:sz w:val="30"/>
          <w:szCs w:val="30"/>
        </w:rPr>
        <w:t>氧化铝</w:t>
      </w:r>
      <w:r>
        <w:rPr>
          <w:rFonts w:eastAsia="方正仿宋简体"/>
          <w:color w:val="000000"/>
          <w:sz w:val="30"/>
          <w:szCs w:val="30"/>
        </w:rPr>
        <w:t>期货合约</w:t>
      </w:r>
      <w:r>
        <w:rPr>
          <w:rFonts w:hint="eastAsia" w:eastAsia="方正仿宋简体"/>
          <w:color w:val="000000"/>
          <w:sz w:val="30"/>
          <w:szCs w:val="30"/>
        </w:rPr>
        <w:t>一般</w:t>
      </w:r>
      <w:r>
        <w:rPr>
          <w:rFonts w:eastAsia="方正仿宋简体"/>
          <w:color w:val="000000"/>
          <w:sz w:val="30"/>
          <w:szCs w:val="30"/>
        </w:rPr>
        <w:t>持仓应当是</w:t>
      </w:r>
      <w:r>
        <w:rPr>
          <w:rFonts w:hint="eastAsia" w:eastAsia="方正仿宋简体"/>
          <w:color w:val="000000"/>
          <w:sz w:val="30"/>
          <w:szCs w:val="30"/>
        </w:rPr>
        <w:t>1</w:t>
      </w:r>
      <w:r>
        <w:rPr>
          <w:rFonts w:eastAsia="方正仿宋简体"/>
          <w:color w:val="000000"/>
          <w:sz w:val="30"/>
          <w:szCs w:val="30"/>
        </w:rPr>
        <w:t>5手的整倍数，新开仓、平仓也应当是</w:t>
      </w:r>
      <w:r>
        <w:rPr>
          <w:rFonts w:hint="eastAsia" w:eastAsia="方正仿宋简体"/>
          <w:color w:val="000000"/>
          <w:sz w:val="30"/>
          <w:szCs w:val="30"/>
        </w:rPr>
        <w:t>1</w:t>
      </w:r>
      <w:r>
        <w:rPr>
          <w:rFonts w:eastAsia="方正仿宋简体"/>
          <w:color w:val="000000"/>
          <w:sz w:val="30"/>
          <w:szCs w:val="30"/>
        </w:rPr>
        <w:t>5手的整倍数。</w:t>
      </w:r>
    </w:p>
    <w:p>
      <w:pPr>
        <w:spacing w:line="560" w:lineRule="exact"/>
        <w:ind w:firstLine="602" w:firstLineChars="200"/>
        <w:rPr>
          <w:rFonts w:eastAsia="方正仿宋简体"/>
          <w:color w:val="000000"/>
          <w:sz w:val="30"/>
          <w:szCs w:val="30"/>
        </w:rPr>
      </w:pPr>
      <w:r>
        <w:rPr>
          <w:rFonts w:eastAsia="方正仿宋简体"/>
          <w:b/>
          <w:sz w:val="30"/>
          <w:szCs w:val="30"/>
        </w:rPr>
        <w:t>第四十八条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氧化铝</w:t>
      </w:r>
      <w:r>
        <w:rPr>
          <w:rFonts w:eastAsia="方正仿宋简体"/>
          <w:sz w:val="30"/>
          <w:szCs w:val="30"/>
        </w:rPr>
        <w:t>期货合约采取强制减仓的，其申报平仓数量、持仓盈</w:t>
      </w:r>
      <w:r>
        <w:rPr>
          <w:rFonts w:eastAsia="方正仿宋简体"/>
          <w:color w:val="000000"/>
          <w:sz w:val="30"/>
          <w:szCs w:val="30"/>
        </w:rPr>
        <w:t>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color w:val="000000"/>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w:t>
      </w:r>
      <w:r>
        <w:rPr>
          <w:rFonts w:hint="eastAsia" w:eastAsia="方正仿宋简体"/>
          <w:color w:val="000000"/>
          <w:sz w:val="30"/>
          <w:szCs w:val="30"/>
        </w:rPr>
        <w:t>氧化铝</w:t>
      </w:r>
      <w:r>
        <w:rPr>
          <w:rFonts w:eastAsia="方正仿宋简体"/>
          <w:color w:val="000000"/>
          <w:sz w:val="30"/>
          <w:szCs w:val="30"/>
        </w:rPr>
        <w:t>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w:t>
      </w:r>
      <w:r>
        <w:rPr>
          <w:rFonts w:eastAsia="方正仿宋简体"/>
          <w:sz w:val="30"/>
          <w:szCs w:val="30"/>
        </w:rPr>
        <w:t>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一般持仓</w:t>
      </w:r>
      <w:r>
        <w:rPr>
          <w:rFonts w:eastAsia="方正仿宋简体"/>
          <w:color w:val="000000"/>
          <w:sz w:val="30"/>
          <w:szCs w:val="30"/>
        </w:rPr>
        <w:t>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。上述各级分配比例均按申报平仓数量（剩余申报平仓数量）与各级可平仓的盈利持仓数量之比进行分配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第四十九条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第五十条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第五十二条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上海期货交易所螺纹钢期货业务细则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为了规范上海期货交易所（以下简称交易所）螺纹钢期货相关业务，根据《上海期货交易所交易规则》《上海期货交易所螺纹钢期货合约》以及相关业务规则，制定本细则。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螺纹钢期货合约的交易单位为10吨/手。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螺纹钢期货合约的报价单位为元（人民币）/吨。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螺纹钢期货合约的最小变动价位为1元/吨。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螺纹钢期货合约月份为1～12月。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螺纹钢期货合约的交易时间为上午9:00～11:30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螺纹钢期货合约的最后交易日为合约月份的15日，遇国家法定节假日顺延，春节月份等最后交易日交易所可另行调整并通知。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螺纹钢期货合约的交易代码为RB。</w:t>
      </w:r>
    </w:p>
    <w:p>
      <w:pPr>
        <w:spacing w:line="560" w:lineRule="exact"/>
        <w:ind w:firstLine="602" w:firstLineChars="200"/>
        <w:rPr>
          <w:rFonts w:eastAsia="方正仿宋简体"/>
          <w:b/>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螺纹钢</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螺纹钢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螺纹钢期货临近交割月份套期保值交易持仓额度的申请应当在该套期保值所涉合约交割月前第二月的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第一个交易日至交割月前第一月的最后一个交易日之间提出，逾期交易所不再受理；螺纹钢期货临近交割月份套利交易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螺纹钢期货套期保值交易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螺纹钢期货适用期货转现货、仓库交割、厂库交割。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螺纹钢期货实行完税交割。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螺纹钢期货的交割品级详见《上海期货交易所螺纹钢期货合约》。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交割螺纹钢质量规定</w:t>
      </w:r>
    </w:p>
    <w:p>
      <w:pPr>
        <w:spacing w:line="560" w:lineRule="exact"/>
        <w:ind w:firstLine="600" w:firstLineChars="200"/>
        <w:jc w:val="left"/>
        <w:rPr>
          <w:rFonts w:eastAsia="方正仿宋简体"/>
          <w:sz w:val="30"/>
          <w:szCs w:val="30"/>
        </w:rPr>
      </w:pPr>
      <w:r>
        <w:rPr>
          <w:rFonts w:eastAsia="方正仿宋简体"/>
          <w:sz w:val="30"/>
          <w:szCs w:val="30"/>
        </w:rPr>
        <w:t>交割螺纹钢应当是在交易所注册的生产企业生产的注册商品。</w:t>
      </w:r>
    </w:p>
    <w:p>
      <w:pPr>
        <w:spacing w:line="560" w:lineRule="exact"/>
        <w:ind w:firstLine="600" w:firstLineChars="200"/>
        <w:jc w:val="left"/>
        <w:rPr>
          <w:rFonts w:eastAsia="方正仿宋简体"/>
          <w:sz w:val="30"/>
          <w:szCs w:val="30"/>
        </w:rPr>
      </w:pPr>
      <w:r>
        <w:rPr>
          <w:rFonts w:eastAsia="方正仿宋简体"/>
          <w:sz w:val="30"/>
          <w:szCs w:val="30"/>
        </w:rPr>
        <w:t>交割螺纹钢的外形、尺寸、重量及允许偏差应当符合国标GB 1499.2-2024《钢筋混凝土用钢 第2部分：热轧带肋钢筋》的规定。</w:t>
      </w:r>
    </w:p>
    <w:p>
      <w:pPr>
        <w:spacing w:line="560" w:lineRule="exact"/>
        <w:ind w:firstLine="600" w:firstLineChars="200"/>
        <w:jc w:val="left"/>
        <w:rPr>
          <w:rFonts w:eastAsia="方正仿宋简体"/>
          <w:sz w:val="30"/>
          <w:szCs w:val="30"/>
        </w:rPr>
      </w:pPr>
      <w:r>
        <w:rPr>
          <w:rFonts w:eastAsia="方正仿宋简体"/>
          <w:sz w:val="30"/>
          <w:szCs w:val="30"/>
        </w:rPr>
        <w:t>交割螺纹钢其长度为9米和12米定尺。</w:t>
      </w:r>
    </w:p>
    <w:p>
      <w:pPr>
        <w:spacing w:line="56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交割螺纹钢的包装</w:t>
      </w:r>
    </w:p>
    <w:p>
      <w:pPr>
        <w:spacing w:line="560" w:lineRule="exact"/>
        <w:ind w:firstLine="600" w:firstLineChars="200"/>
        <w:rPr>
          <w:rFonts w:eastAsia="方正仿宋简体"/>
          <w:sz w:val="30"/>
          <w:szCs w:val="30"/>
        </w:rPr>
      </w:pPr>
      <w:r>
        <w:rPr>
          <w:rFonts w:eastAsia="方正仿宋简体"/>
          <w:sz w:val="30"/>
          <w:szCs w:val="30"/>
        </w:rPr>
        <w:t>交割螺纹钢包装、标志及质量证明书等应当符合GB 1499.2-2024《钢筋混凝土用钢 第2部分：热轧带肋钢筋》。</w:t>
      </w:r>
    </w:p>
    <w:p>
      <w:pPr>
        <w:spacing w:line="560" w:lineRule="exact"/>
        <w:ind w:firstLine="600" w:firstLineChars="200"/>
        <w:rPr>
          <w:rFonts w:eastAsia="方正仿宋简体"/>
          <w:sz w:val="30"/>
          <w:szCs w:val="30"/>
        </w:rPr>
      </w:pPr>
      <w:r>
        <w:rPr>
          <w:rFonts w:eastAsia="方正仿宋简体"/>
          <w:sz w:val="30"/>
          <w:szCs w:val="30"/>
        </w:rPr>
        <w:t>每一标准仓单的螺纹钢，应当是同一生产企业生产、同一牌号、同一注册商标、同一公称直径、同一长度的商品组成，并且组成每一标准仓单的螺纹钢的生产日期应当不超过连续十日，且以最早日期作为该标准仓单的生产日期。</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计量和溢短 </w:t>
      </w:r>
    </w:p>
    <w:p>
      <w:pPr>
        <w:spacing w:line="560" w:lineRule="exact"/>
        <w:ind w:firstLine="600" w:firstLineChars="200"/>
        <w:rPr>
          <w:rFonts w:eastAsia="方正仿宋简体"/>
          <w:sz w:val="30"/>
          <w:szCs w:val="30"/>
        </w:rPr>
      </w:pPr>
      <w:r>
        <w:rPr>
          <w:rFonts w:eastAsia="方正仿宋简体"/>
          <w:sz w:val="30"/>
          <w:szCs w:val="30"/>
        </w:rPr>
        <w:t>交割螺纹钢以理论计重方式计量。每张螺纹钢标准仓单的溢短不超过±3%。</w:t>
      </w:r>
    </w:p>
    <w:p>
      <w:pPr>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螺纹钢期货合约的交割单位为300吨。</w:t>
      </w:r>
    </w:p>
    <w:p>
      <w:pPr>
        <w:spacing w:line="560" w:lineRule="exact"/>
        <w:ind w:firstLine="602" w:firstLineChars="200"/>
        <w:rPr>
          <w:rFonts w:eastAsia="方正仿宋简体"/>
          <w:b/>
          <w:sz w:val="30"/>
          <w:szCs w:val="30"/>
        </w:rPr>
      </w:pPr>
      <w:r>
        <w:rPr>
          <w:rFonts w:eastAsia="方正仿宋简体"/>
          <w:b/>
          <w:sz w:val="30"/>
          <w:szCs w:val="30"/>
        </w:rPr>
        <w:t>第二十条</w:t>
      </w:r>
      <w:r>
        <w:rPr>
          <w:rFonts w:eastAsia="方正仿宋简体"/>
          <w:sz w:val="30"/>
          <w:szCs w:val="30"/>
        </w:rPr>
        <w:t xml:space="preserve"> 螺纹钢期货合约的交割日期为最后交易日后连续二个工作日。</w:t>
      </w:r>
    </w:p>
    <w:p>
      <w:pPr>
        <w:spacing w:line="560" w:lineRule="exact"/>
        <w:ind w:firstLine="602" w:firstLineChars="200"/>
        <w:rPr>
          <w:rFonts w:eastAsia="方正仿宋简体"/>
          <w:b/>
          <w:sz w:val="30"/>
          <w:szCs w:val="30"/>
        </w:rPr>
      </w:pPr>
      <w:r>
        <w:rPr>
          <w:rFonts w:eastAsia="方正仿宋简体"/>
          <w:b/>
          <w:sz w:val="30"/>
          <w:szCs w:val="30"/>
        </w:rPr>
        <w:t>第二十一条</w:t>
      </w:r>
      <w:r>
        <w:rPr>
          <w:rFonts w:eastAsia="方正仿宋简体"/>
          <w:sz w:val="30"/>
          <w:szCs w:val="30"/>
        </w:rPr>
        <w:t xml:space="preserve"> 螺纹钢期货合约交割结算的基准价为该期货合约最后交易日的结算价。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期转现使用标准仓单并通过交易所结算发生螺纹钢交割实物质量纠纷的，买方应当在货款和标准仓单交换日后的25天内提出质量异议申请，并应当同时提供交易所指定检验机构出具的质量鉴定结论。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交割螺纹钢的每批商品的有效期限为生产日起的90天内，并且应在生产日起的45天内入交割仓库方可制作仓库标准仓单。</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用于交割的螺纹钢每一仓库标准仓单的标的实物应当作为一个堆放垛位进行堆放。</w:t>
      </w:r>
    </w:p>
    <w:p>
      <w:pPr>
        <w:spacing w:line="560" w:lineRule="exact"/>
        <w:ind w:firstLine="602" w:firstLineChars="200"/>
        <w:rPr>
          <w:rFonts w:eastAsia="方正仿宋简体"/>
          <w:sz w:val="30"/>
          <w:szCs w:val="30"/>
        </w:rPr>
      </w:pPr>
      <w:r>
        <w:rPr>
          <w:rFonts w:eastAsia="方正仿宋简体"/>
          <w:b/>
          <w:sz w:val="30"/>
          <w:szCs w:val="30"/>
        </w:rPr>
        <w:t>第二十六条</w:t>
      </w:r>
      <w:r>
        <w:rPr>
          <w:rFonts w:eastAsia="方正仿宋简体"/>
          <w:color w:val="000000"/>
          <w:kern w:val="0"/>
          <w:sz w:val="30"/>
          <w:szCs w:val="30"/>
        </w:rPr>
        <w:t xml:space="preserve"> 实物交割完成后，若买方对交割商品的质量、数量有异议的（有异议的螺纹钢应当在交割仓库内），应当在实物交割月份的下一月份的15日之前（含当日，遇法定假日时顺延至假日后的第一个工作日），向交易所提出书面申请，并应当同时提供交易所指定检验机构出具的质量鉴定结论。用于交割的螺纹钢每批商品的有效期应当涵盖本次交割的最后交割日。即使交割螺纹钢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第二十七</w:t>
      </w:r>
      <w:r>
        <w:rPr>
          <w:rFonts w:eastAsia="方正仿宋简体"/>
          <w:b/>
          <w:sz w:val="30"/>
          <w:szCs w:val="30"/>
        </w:rPr>
        <w:t>条</w:t>
      </w:r>
      <w:r>
        <w:rPr>
          <w:rFonts w:hint="eastAsia" w:eastAsia="方正仿宋简体"/>
          <w:sz w:val="30"/>
          <w:szCs w:val="30"/>
        </w:rPr>
        <w:t xml:space="preserve"> 申请单位申请</w:t>
      </w:r>
      <w:r>
        <w:rPr>
          <w:rFonts w:eastAsia="方正仿宋简体"/>
          <w:sz w:val="30"/>
          <w:szCs w:val="30"/>
        </w:rPr>
        <w:t>交割</w:t>
      </w:r>
      <w:r>
        <w:rPr>
          <w:rFonts w:hint="eastAsia" w:eastAsia="方正仿宋简体"/>
          <w:sz w:val="30"/>
          <w:szCs w:val="30"/>
        </w:rPr>
        <w:t>厂库</w:t>
      </w:r>
      <w:r>
        <w:rPr>
          <w:rFonts w:eastAsia="方正仿宋简体"/>
          <w:sz w:val="30"/>
          <w:szCs w:val="30"/>
        </w:rPr>
        <w:t>，</w:t>
      </w:r>
      <w:r>
        <w:rPr>
          <w:rFonts w:hint="eastAsia" w:eastAsia="方正仿宋简体"/>
          <w:sz w:val="30"/>
          <w:szCs w:val="30"/>
        </w:rPr>
        <w:t>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厂库签发厂库标准仓单前，须向交易所提交签发申请。申请内容包括品种、牌号、商标、会员单位、货主名称、拟申请签发仓单数量等。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hint="eastAsia" w:eastAsia="方正仿宋简体"/>
          <w:b/>
          <w:sz w:val="30"/>
          <w:szCs w:val="30"/>
        </w:rPr>
        <w:t>第三十三</w:t>
      </w:r>
      <w:r>
        <w:rPr>
          <w:rFonts w:eastAsia="方正仿宋简体"/>
          <w:b/>
          <w:sz w:val="30"/>
          <w:szCs w:val="30"/>
        </w:rPr>
        <w:t>条</w:t>
      </w:r>
      <w:r>
        <w:rPr>
          <w:rFonts w:hint="eastAsia" w:eastAsia="方正仿宋简体"/>
          <w:sz w:val="30"/>
          <w:szCs w:val="30"/>
        </w:rPr>
        <w:t xml:space="preserve"> 螺纹钢厂库标准仓单货主申请提货的，厂库提供的出库商品规格（公称直径）分布应当符合下列要求：</w:t>
      </w:r>
    </w:p>
    <w:p>
      <w:pPr>
        <w:spacing w:line="560" w:lineRule="exact"/>
        <w:ind w:firstLine="600" w:firstLineChars="200"/>
        <w:rPr>
          <w:rFonts w:eastAsia="方正仿宋简体"/>
          <w:sz w:val="30"/>
          <w:szCs w:val="30"/>
        </w:rPr>
      </w:pPr>
      <w:r>
        <w:rPr>
          <w:rFonts w:hint="eastAsia" w:eastAsia="方正仿宋简体"/>
          <w:sz w:val="30"/>
          <w:szCs w:val="30"/>
        </w:rPr>
        <w:t>1．厂库标准仓单货主提货数量≤2400吨，出库商品可以是同一公称直径或者一个以上公称直径。</w:t>
      </w:r>
    </w:p>
    <w:p>
      <w:pPr>
        <w:spacing w:line="560" w:lineRule="exact"/>
        <w:ind w:firstLine="600" w:firstLineChars="200"/>
        <w:rPr>
          <w:rFonts w:eastAsia="方正仿宋简体"/>
          <w:sz w:val="30"/>
          <w:szCs w:val="30"/>
        </w:rPr>
      </w:pPr>
      <w:r>
        <w:rPr>
          <w:rFonts w:hint="eastAsia" w:eastAsia="方正仿宋简体"/>
          <w:sz w:val="30"/>
          <w:szCs w:val="30"/>
        </w:rPr>
        <w:t>2．2400吨&lt;厂库标准仓单货主提货数量≤9600吨，出库商品至少是三个公称直径，并且每一公称直径提货数量不得高于其总提货数量的40%。</w:t>
      </w:r>
    </w:p>
    <w:p>
      <w:pPr>
        <w:spacing w:line="560" w:lineRule="exact"/>
        <w:ind w:firstLine="600" w:firstLineChars="200"/>
        <w:rPr>
          <w:rFonts w:eastAsia="方正仿宋简体"/>
          <w:sz w:val="30"/>
          <w:szCs w:val="30"/>
        </w:rPr>
      </w:pPr>
      <w:r>
        <w:rPr>
          <w:rFonts w:hint="eastAsia" w:eastAsia="方正仿宋简体"/>
          <w:sz w:val="30"/>
          <w:szCs w:val="30"/>
        </w:rPr>
        <w:t>3．厂库标准仓单货主提货数量&gt;9600吨，出库商品至少是四个公称直径，并且每一公称直径提货数量不得高于其总数量的30%。</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九十日</w:t>
      </w:r>
      <w:r>
        <w:rPr>
          <w:rFonts w:eastAsia="方正仿宋简体"/>
          <w:sz w:val="30"/>
          <w:szCs w:val="30"/>
        </w:rPr>
        <w:t>之内</w:t>
      </w:r>
      <w:r>
        <w:rPr>
          <w:rFonts w:hint="eastAsia" w:eastAsia="方正仿宋简体"/>
          <w:sz w:val="30"/>
          <w:szCs w:val="30"/>
        </w:rPr>
        <w:t>，组成每一厂库标准仓单出库的螺纹钢生产日期应当不超过连续三十日。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 xml:space="preserve">天×应提而未提的商品数量×该批商品的滞留天数 </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当厂库发生第三十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当货主发生第三十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条中的违约行为时，首先由货主直接向厂库支付赔偿金。货主未支付的或支付数额不足的，厂库可通过包括法律程序在内的其他手段向货主追索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第四十三</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螺纹钢期货合约的最低交易保证金为合约价值的5%。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螺纹钢期货合约上市运行不同阶段的交易保证金收取标准为：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
                <w:bCs/>
                <w:color w:val="000000"/>
                <w:sz w:val="24"/>
              </w:rPr>
            </w:pPr>
            <w:r>
              <w:rPr>
                <w:rFonts w:eastAsia="方正仿宋简体"/>
                <w:b/>
                <w:bCs/>
                <w:color w:val="000000"/>
                <w:sz w:val="24"/>
              </w:rPr>
              <w:t>螺纹钢交易保证金比例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 xml:space="preserve">条 </w:t>
      </w:r>
      <w:r>
        <w:rPr>
          <w:rFonts w:eastAsia="方正仿宋简体"/>
          <w:sz w:val="30"/>
          <w:szCs w:val="30"/>
        </w:rPr>
        <w:t>螺纹钢期货合约涨跌停板幅度为上一交易日结算价±3%。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螺纹钢期货合约在不同时期的限仓比例和限仓数额具体规定如下：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63"/>
        <w:gridCol w:w="1664"/>
        <w:gridCol w:w="1060"/>
        <w:gridCol w:w="972"/>
        <w:gridCol w:w="1054"/>
        <w:gridCol w:w="947"/>
        <w:gridCol w:w="992"/>
        <w:gridCol w:w="7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7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210"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19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1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7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95"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15"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19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1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7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95"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3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8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3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6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3"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3"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7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螺纹钢</w:t>
            </w:r>
          </w:p>
        </w:tc>
        <w:tc>
          <w:tcPr>
            <w:tcW w:w="995"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ascii="方正仿宋简体" w:eastAsia="方正仿宋简体"/>
                <w:bCs/>
                <w:color w:val="000000"/>
                <w:kern w:val="0"/>
                <w:sz w:val="24"/>
              </w:rPr>
              <w:t>≥</w:t>
            </w:r>
            <w:r>
              <w:rPr>
                <w:rFonts w:eastAsia="方正仿宋简体"/>
                <w:bCs/>
                <w:color w:val="000000"/>
                <w:kern w:val="0"/>
                <w:sz w:val="24"/>
              </w:rPr>
              <w:t>90万手</w:t>
            </w:r>
          </w:p>
        </w:tc>
        <w:tc>
          <w:tcPr>
            <w:tcW w:w="63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8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30"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4500</w:t>
            </w:r>
          </w:p>
        </w:tc>
        <w:tc>
          <w:tcPr>
            <w:tcW w:w="56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4500</w:t>
            </w:r>
          </w:p>
        </w:tc>
        <w:tc>
          <w:tcPr>
            <w:tcW w:w="593"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w:t>
            </w:r>
          </w:p>
        </w:tc>
        <w:tc>
          <w:tcPr>
            <w:tcW w:w="423"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7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95"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＜90万手</w:t>
            </w:r>
          </w:p>
        </w:tc>
        <w:tc>
          <w:tcPr>
            <w:tcW w:w="63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90000</w:t>
            </w:r>
          </w:p>
        </w:tc>
        <w:tc>
          <w:tcPr>
            <w:tcW w:w="58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90000</w:t>
            </w:r>
          </w:p>
        </w:tc>
        <w:tc>
          <w:tcPr>
            <w:tcW w:w="630"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3"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3"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螺纹钢期货合约的</w:t>
      </w:r>
      <w:r>
        <w:rPr>
          <w:rFonts w:hint="eastAsia" w:eastAsia="方正仿宋简体"/>
          <w:sz w:val="30"/>
          <w:szCs w:val="30"/>
        </w:rPr>
        <w:t>一般</w:t>
      </w:r>
      <w:r>
        <w:rPr>
          <w:rFonts w:eastAsia="方正仿宋简体"/>
          <w:sz w:val="30"/>
          <w:szCs w:val="30"/>
        </w:rPr>
        <w:t>持仓应当调整为30手的整倍数（遇市场特殊情况无法按期调整的，可以顺延一天）</w:t>
      </w:r>
      <w:r>
        <w:rPr>
          <w:rFonts w:hint="eastAsia" w:eastAsia="方正仿宋简体"/>
          <w:sz w:val="30"/>
          <w:szCs w:val="30"/>
        </w:rPr>
        <w:t>；</w:t>
      </w:r>
      <w:r>
        <w:rPr>
          <w:rFonts w:eastAsia="方正仿宋简体"/>
          <w:sz w:val="30"/>
          <w:szCs w:val="30"/>
        </w:rPr>
        <w:t>进入交割月后，螺纹钢期货合约</w:t>
      </w:r>
      <w:r>
        <w:rPr>
          <w:rFonts w:hint="eastAsia" w:eastAsia="方正仿宋简体"/>
          <w:sz w:val="30"/>
          <w:szCs w:val="30"/>
        </w:rPr>
        <w:t>一般</w:t>
      </w:r>
      <w:r>
        <w:rPr>
          <w:rFonts w:eastAsia="方正仿宋简体"/>
          <w:sz w:val="30"/>
          <w:szCs w:val="30"/>
        </w:rPr>
        <w:t>持仓应当是30手的整倍数，新开仓、平仓也应当是30手的整倍数。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交易所对某一螺纹钢期货合约采取强制减仓的，其申报平仓数量、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该螺纹钢期货合约的单位净持仓亏损大于或者等于强制减仓基准日结算价6%的所有申报平仓数量的总和为平仓数量。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b/>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 xml:space="preserve">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spacing w:line="560" w:lineRule="exact"/>
        <w:ind w:firstLine="420" w:firstLineChars="200"/>
      </w:pP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上海期货交易所线材期货业务细则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bCs/>
          <w:sz w:val="28"/>
          <w:szCs w:val="30"/>
        </w:rPr>
      </w:pPr>
    </w:p>
    <w:p>
      <w:pPr>
        <w:spacing w:line="360" w:lineRule="auto"/>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为了规范上海期货交易所（以下简称交易所）线材期货相关业务，根据《上海期货交易所交易规则》《上海期货交易所线材期货合约》以及相关业务规则，制定本细则。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线材期货合约的交易单位为10吨/手。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线材期货合约的报价单位为元（人民币）/吨。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线材期货合约的最小变动价位为1元/吨。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线材期货合约月份为1～12月。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 xml:space="preserve">第七条 </w:t>
      </w:r>
      <w:r>
        <w:rPr>
          <w:rFonts w:eastAsia="方正仿宋简体"/>
          <w:color w:val="000000"/>
          <w:sz w:val="30"/>
          <w:szCs w:val="30"/>
        </w:rPr>
        <w:t>线材期货合约的交易时间为上午9:00～11:30，下午1:30～3:00和交易所规定的其他交易时间。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线材期货合约的最后交易日为合约月份的15日，遇国家法定节假日顺延，春节月份等最后交易日交易所可另行调整并通知。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线材期货合约的交易代码为WR。</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线材</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按合约方式申请线材期货一般月份套期保值交易持仓额度的，</w:t>
      </w:r>
      <w:bookmarkStart w:id="7" w:name="_GoBack"/>
      <w:bookmarkEnd w:id="7"/>
      <w:r>
        <w:rPr>
          <w:rFonts w:hint="eastAsia" w:eastAsia="方正仿宋简体"/>
          <w:bCs/>
          <w:sz w:val="30"/>
          <w:szCs w:val="30"/>
        </w:rPr>
        <w:t>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线材期货临近交割月份套期保值交易持仓额度的申请应当在该套期保值所涉合约交割月前第二月的第一</w:t>
      </w:r>
      <w:r>
        <w:rPr>
          <w:rFonts w:eastAsia="方正仿宋简体"/>
          <w:sz w:val="30"/>
          <w:szCs w:val="30"/>
        </w:rPr>
        <w:t>个交易日至交割月前第一月的最后一个交易日之间提出，逾期交易所不再受理；线材期货临近交割月份套利交易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线材期货套期保值交易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线材期货适用期货转现货、仓库交割、厂库交割。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线材期货实行完税交割。</w:t>
      </w:r>
    </w:p>
    <w:p>
      <w:pPr>
        <w:spacing w:line="560" w:lineRule="exact"/>
        <w:ind w:firstLine="602" w:firstLineChars="200"/>
        <w:jc w:val="left"/>
        <w:rPr>
          <w:rFonts w:eastAsia="方正仿宋简体"/>
          <w:b/>
          <w:sz w:val="30"/>
          <w:szCs w:val="30"/>
          <w:shd w:val="pct10" w:color="auto" w:fill="FFFFFF"/>
        </w:rPr>
      </w:pPr>
      <w:r>
        <w:rPr>
          <w:rFonts w:eastAsia="方正仿宋简体"/>
          <w:b/>
          <w:sz w:val="30"/>
          <w:szCs w:val="30"/>
        </w:rPr>
        <w:t xml:space="preserve">第十四条 </w:t>
      </w:r>
      <w:r>
        <w:rPr>
          <w:rFonts w:eastAsia="方正仿宋简体"/>
          <w:sz w:val="30"/>
          <w:szCs w:val="30"/>
        </w:rPr>
        <w:t>线材期货的</w:t>
      </w:r>
      <w:r>
        <w:rPr>
          <w:rFonts w:eastAsia="方正仿宋简体"/>
          <w:color w:val="000000"/>
          <w:kern w:val="0"/>
          <w:sz w:val="30"/>
          <w:szCs w:val="30"/>
        </w:rPr>
        <w:t>交割品级详见《上海期货交易所线材期货合约》。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交割线材质量规定</w:t>
      </w:r>
    </w:p>
    <w:p>
      <w:pPr>
        <w:spacing w:line="560" w:lineRule="exact"/>
        <w:ind w:firstLine="600" w:firstLineChars="200"/>
        <w:rPr>
          <w:rFonts w:eastAsia="方正仿宋简体"/>
          <w:sz w:val="30"/>
          <w:szCs w:val="30"/>
        </w:rPr>
      </w:pPr>
      <w:r>
        <w:rPr>
          <w:rFonts w:eastAsia="方正仿宋简体"/>
          <w:sz w:val="30"/>
          <w:szCs w:val="30"/>
        </w:rPr>
        <w:t>交割线材应当是在交易所注册的生产企业生产的注册商品。交割线材的外形、尺寸、重量及允许偏差应当符合国标GB</w:t>
      </w:r>
      <w:r>
        <w:rPr>
          <w:rFonts w:hint="eastAsia" w:eastAsia="方正仿宋简体"/>
          <w:sz w:val="30"/>
          <w:szCs w:val="30"/>
        </w:rPr>
        <w:t xml:space="preserve"> </w:t>
      </w:r>
      <w:r>
        <w:rPr>
          <w:rFonts w:eastAsia="方正仿宋简体"/>
          <w:sz w:val="30"/>
          <w:szCs w:val="30"/>
        </w:rPr>
        <w:t>1499.1-2024《钢筋混凝土用钢 第1部分：热轧光圆钢筋》的规定。</w:t>
      </w:r>
    </w:p>
    <w:p>
      <w:pPr>
        <w:spacing w:line="56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交割线材的包装</w:t>
      </w:r>
    </w:p>
    <w:p>
      <w:pPr>
        <w:spacing w:line="560" w:lineRule="exact"/>
        <w:ind w:firstLine="600" w:firstLineChars="200"/>
        <w:rPr>
          <w:rFonts w:eastAsia="方正仿宋简体"/>
          <w:sz w:val="30"/>
          <w:szCs w:val="30"/>
        </w:rPr>
      </w:pPr>
      <w:r>
        <w:rPr>
          <w:rFonts w:eastAsia="方正仿宋简体"/>
          <w:sz w:val="30"/>
          <w:szCs w:val="30"/>
        </w:rPr>
        <w:t>线材应盘卷交货，包装、标志及质量证明书应当符合国标GB 1499.1-2024《钢筋混凝土用钢 第1部分：热轧光圆钢筋》的规定</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每一标准仓单的线材，应当是同一生产企业生产、同一牌号、同一注册商标、同一公称直径的商品组成，并且组成每一标准仓单的线材的生产日期应当不超过连续十日，且以最早日期作为该标准仓单的生产日期。</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溢短和磅差</w:t>
      </w:r>
    </w:p>
    <w:p>
      <w:pPr>
        <w:spacing w:line="560" w:lineRule="exact"/>
        <w:ind w:firstLine="600" w:firstLineChars="200"/>
        <w:rPr>
          <w:rFonts w:eastAsia="方正仿宋简体"/>
          <w:sz w:val="30"/>
          <w:szCs w:val="30"/>
        </w:rPr>
      </w:pPr>
      <w:r>
        <w:rPr>
          <w:rFonts w:eastAsia="方正仿宋简体"/>
          <w:sz w:val="30"/>
          <w:szCs w:val="30"/>
        </w:rPr>
        <w:t>交割线材以实际称重方式计量。每张线材标准仓单的溢短不超过±3%，磅差不超过±0.3%。</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线材期货合约的交割单位为300吨。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线材期货合约的交割日期为最后交易日后连续二个工作日。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 xml:space="preserve">第二十一条 </w:t>
      </w:r>
      <w:r>
        <w:rPr>
          <w:rFonts w:eastAsia="方正仿宋简体"/>
          <w:sz w:val="30"/>
          <w:szCs w:val="30"/>
        </w:rPr>
        <w:t>线材期货合约交割结算的基准价为该期货合约最后交易日的结算价。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期转现使用标准仓单并通过交易所结算发生线材交割实物质量纠纷的，买方应当在货款和标准仓单交换日后的25天内提出质量异议申请，并应当同时提供交易所指定检验机构出具的质量鉴定结论。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交割线材的每批商品的有效期限为生产日起的90天内，并且应在生产日起的30天内入交割仓库方可制作标准仓单。</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用于交割的线材每一仓库标准仓单的标的实物应当作为一个堆放垛位进行堆放。</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第二十六条</w:t>
      </w:r>
      <w:r>
        <w:rPr>
          <w:rFonts w:eastAsia="方正仿宋简体"/>
          <w:color w:val="000000"/>
          <w:kern w:val="0"/>
          <w:sz w:val="30"/>
          <w:szCs w:val="30"/>
        </w:rPr>
        <w:t xml:space="preserve"> 实物交割完成后，若买方对交割商品的质量、数量有异议的（有异议的线材应当在交割仓库内），应当在实物交割月份的下一月份的15日之前（含当日，遇法定假日时顺延至假日后的第一个工作日），向交易所提出书面申请，并应当同时提供交易所指定检验机构出具的质量鉴定结论。用于交割的线材每批商品的有效期应当涵盖本次交割的最后交割日。即使交割线材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第二十七</w:t>
      </w:r>
      <w:r>
        <w:rPr>
          <w:rFonts w:eastAsia="方正仿宋简体"/>
          <w:b/>
          <w:sz w:val="30"/>
          <w:szCs w:val="30"/>
        </w:rPr>
        <w:t>条</w:t>
      </w:r>
      <w:r>
        <w:rPr>
          <w:rFonts w:hint="eastAsia" w:eastAsia="方正仿宋简体"/>
          <w:sz w:val="30"/>
          <w:szCs w:val="30"/>
        </w:rPr>
        <w:t xml:space="preserve"> 申请单位申请交割厂库，净资产不足1亿元的，应当向交易所提供有关单位出具的担保函。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厂库签发厂库标准仓单前，须向交易所提交签发申请。申请内容包括品种、牌号、商标、会员单位、货主名称、拟申请签发仓单数量等。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九十日</w:t>
      </w:r>
      <w:r>
        <w:rPr>
          <w:rFonts w:eastAsia="方正仿宋简体"/>
          <w:sz w:val="30"/>
          <w:szCs w:val="30"/>
        </w:rPr>
        <w:t>之内</w:t>
      </w:r>
      <w:r>
        <w:rPr>
          <w:rFonts w:hint="eastAsia" w:eastAsia="方正仿宋简体"/>
          <w:sz w:val="30"/>
          <w:szCs w:val="30"/>
        </w:rPr>
        <w:t>，组成每一厂库标准仓单出库的线材生产日期应当不超过连续三十日。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出库商品重量以厂库检重为准。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 xml:space="preserve">天×应提而未提的商品数量×该批商品的滞留天数 </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当厂库发生第三十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当货主发生第三十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条中的违约行为时，首先由货主直接向厂库支付赔偿金。货主未支付的或支付数额不足的，厂库可通过包括法律程序在内的其他手段向货主追索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第四十三</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b/>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线材期货合约的最低交易保证金为合约价值的7%。</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线材期货合约上市运行不同阶段的交易保证金收取标准：</w:t>
      </w:r>
      <w:r>
        <w:rPr>
          <w:rFonts w:eastAsia="方正仿宋简体"/>
          <w:b/>
          <w:color w:val="FF0000"/>
          <w:sz w:val="30"/>
          <w:szCs w:val="30"/>
        </w:rPr>
        <w:t xml:space="preserve"> </w:t>
      </w:r>
    </w:p>
    <w:tbl>
      <w:tblPr>
        <w:tblStyle w:val="4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
                <w:kern w:val="0"/>
                <w:sz w:val="24"/>
              </w:rPr>
            </w:pPr>
            <w:r>
              <w:rPr>
                <w:rFonts w:eastAsia="方正仿宋简体"/>
                <w:b/>
                <w:bCs/>
                <w:color w:val="000000"/>
                <w:kern w:val="0"/>
                <w:sz w:val="24"/>
              </w:rPr>
              <w:t>交易时间段</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
                <w:kern w:val="0"/>
                <w:sz w:val="24"/>
              </w:rPr>
            </w:pPr>
            <w:r>
              <w:rPr>
                <w:rFonts w:eastAsia="方正仿宋简体"/>
                <w:b/>
                <w:bCs/>
                <w:color w:val="000000"/>
                <w:kern w:val="0"/>
                <w:sz w:val="24"/>
              </w:rPr>
              <w:t>线材交易保证金比例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合约挂牌之日起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交割月前第一月的第一个交易日起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交割月份第一个交易日起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396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最后交易日前二个交易日起</w:t>
            </w:r>
          </w:p>
        </w:tc>
        <w:tc>
          <w:tcPr>
            <w:tcW w:w="414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kern w:val="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 xml:space="preserve">条 </w:t>
      </w:r>
      <w:r>
        <w:rPr>
          <w:rFonts w:eastAsia="方正仿宋简体"/>
          <w:sz w:val="30"/>
          <w:szCs w:val="30"/>
        </w:rPr>
        <w:t>线材期货合约涨跌停板幅度为上一交易日结算价±5%。</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线材期货合约在不同时期的限仓比例和限仓数额具体规定如下：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600"/>
        <w:gridCol w:w="1070"/>
        <w:gridCol w:w="980"/>
        <w:gridCol w:w="1064"/>
        <w:gridCol w:w="955"/>
        <w:gridCol w:w="1000"/>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183"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26"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szCs w:val="21"/>
              </w:rPr>
              <w:t>限仓比例（</w:t>
            </w:r>
            <w:r>
              <w:rPr>
                <w:rFonts w:hint="eastAsia" w:eastAsia="方正仿宋简体"/>
                <w:bCs/>
                <w:color w:val="000000"/>
                <w:kern w:val="0"/>
                <w:sz w:val="24"/>
                <w:szCs w:val="21"/>
              </w:rPr>
              <w:t>%</w:t>
            </w:r>
            <w:r>
              <w:rPr>
                <w:rFonts w:eastAsia="方正仿宋简体"/>
                <w:bCs/>
                <w:color w:val="000000"/>
                <w:kern w:val="0"/>
                <w:sz w:val="24"/>
                <w:szCs w:val="21"/>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3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线材</w:t>
            </w: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szCs w:val="21"/>
              </w:rPr>
              <w:t>≥</w:t>
            </w:r>
            <w:r>
              <w:rPr>
                <w:rFonts w:eastAsia="方正仿宋简体"/>
                <w:bCs/>
                <w:color w:val="000000"/>
                <w:kern w:val="0"/>
                <w:sz w:val="24"/>
              </w:rPr>
              <w:t>22.5</w:t>
            </w:r>
            <w:r>
              <w:rPr>
                <w:rFonts w:eastAsia="方正仿宋简体"/>
                <w:bCs/>
                <w:color w:val="000000"/>
                <w:kern w:val="0"/>
                <w:sz w:val="24"/>
                <w:szCs w:val="21"/>
              </w:rPr>
              <w:t>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3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98"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360</w:t>
            </w:r>
          </w:p>
        </w:tc>
        <w:tc>
          <w:tcPr>
            <w:tcW w:w="42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＜22.5万手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22500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22500</w:t>
            </w:r>
          </w:p>
        </w:tc>
        <w:tc>
          <w:tcPr>
            <w:tcW w:w="63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8"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r>
        <w:rPr>
          <w:rFonts w:hint="eastAsia" w:eastAsia="方正仿宋简体"/>
          <w:bCs/>
          <w:color w:val="000000"/>
          <w:sz w:val="24"/>
        </w:rPr>
        <w:t>。</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线材期货合约的</w:t>
      </w:r>
      <w:r>
        <w:rPr>
          <w:rFonts w:hint="eastAsia" w:eastAsia="方正仿宋简体"/>
          <w:sz w:val="30"/>
          <w:szCs w:val="30"/>
        </w:rPr>
        <w:t>一般</w:t>
      </w:r>
      <w:r>
        <w:rPr>
          <w:rFonts w:eastAsia="方正仿宋简体"/>
          <w:sz w:val="30"/>
          <w:szCs w:val="30"/>
        </w:rPr>
        <w:t>持仓应当调整为30手的整倍数（遇市场特殊情况无法按期调整的，可以顺延一天）</w:t>
      </w:r>
      <w:r>
        <w:rPr>
          <w:rFonts w:hint="eastAsia" w:eastAsia="方正仿宋简体"/>
          <w:sz w:val="30"/>
          <w:szCs w:val="30"/>
        </w:rPr>
        <w:t>；</w:t>
      </w:r>
      <w:r>
        <w:rPr>
          <w:rFonts w:eastAsia="方正仿宋简体"/>
          <w:sz w:val="30"/>
          <w:szCs w:val="30"/>
        </w:rPr>
        <w:t>进入交割月后，线材期货合约</w:t>
      </w:r>
      <w:r>
        <w:rPr>
          <w:rFonts w:hint="eastAsia" w:eastAsia="方正仿宋简体"/>
          <w:sz w:val="30"/>
          <w:szCs w:val="30"/>
        </w:rPr>
        <w:t>一般</w:t>
      </w:r>
      <w:r>
        <w:rPr>
          <w:rFonts w:eastAsia="方正仿宋简体"/>
          <w:sz w:val="30"/>
          <w:szCs w:val="30"/>
        </w:rPr>
        <w:t>持仓应当是30手的整倍数，新开仓、平仓也应当是30手的整倍数。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交易所对某一线材期货合约采取强制减仓的，其申报平仓数量、持仓盈利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该线材期货合约的单位净持仓亏损大于或者等于强制减仓基准日结算价6%的所有申报平仓数量的总和为平仓数量。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w:t>
      </w:r>
      <w:r>
        <w:rPr>
          <w:rFonts w:eastAsia="方正仿宋简体"/>
          <w:sz w:val="30"/>
          <w:szCs w:val="30"/>
        </w:rPr>
        <w:t>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（三）</w:t>
      </w:r>
      <w:r>
        <w:rPr>
          <w:rFonts w:eastAsia="方正仿宋简体"/>
          <w:sz w:val="30"/>
          <w:szCs w:val="30"/>
        </w:rPr>
        <w:t>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r>
        <w:rPr>
          <w:rFonts w:hint="eastAsia" w:eastAsia="方正仿宋简体"/>
          <w:sz w:val="30"/>
          <w:szCs w:val="30"/>
        </w:rPr>
        <w:t>。</w:t>
      </w:r>
    </w:p>
    <w:p>
      <w:pPr>
        <w:spacing w:line="560" w:lineRule="exact"/>
        <w:ind w:firstLine="600" w:firstLineChars="200"/>
        <w:rPr>
          <w:rFonts w:eastAsia="方正仿宋简体"/>
          <w:b/>
          <w:bCs/>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w:t>
      </w:r>
      <w:r>
        <w:rPr>
          <w:rFonts w:eastAsia="方正仿宋简体"/>
          <w:color w:val="000000"/>
          <w:sz w:val="30"/>
          <w:szCs w:val="30"/>
        </w:rPr>
        <w:t>于申报平仓数量的，根据盈利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b/>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 xml:space="preserve">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上海期货交易所热轧卷板期货业务细则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bCs/>
          <w:sz w:val="28"/>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为了规范上海期货交易所（以下简称交易所）热轧卷板期货相关业务，根据《上海期货交易所交易规则》《上海期货交易所热轧卷板期货合约》以及相关业务规则，制定本细则。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第三条</w:t>
      </w:r>
      <w:r>
        <w:rPr>
          <w:rFonts w:eastAsia="方正仿宋简体"/>
          <w:sz w:val="30"/>
          <w:szCs w:val="30"/>
        </w:rPr>
        <w:t xml:space="preserve"> 热轧卷板期货合约的交易单位为10吨/手。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热轧卷板期货合约的报价单位为元（人民币）/吨。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热轧卷板期货合约的最小变动价位为1元/吨。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热轧卷板期货合约月份为1～12月。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sz w:val="30"/>
          <w:szCs w:val="30"/>
        </w:rPr>
        <w:t>热轧卷板</w:t>
      </w:r>
      <w:r>
        <w:rPr>
          <w:rFonts w:eastAsia="方正仿宋简体"/>
          <w:color w:val="000000"/>
          <w:sz w:val="30"/>
          <w:szCs w:val="30"/>
        </w:rPr>
        <w:t>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热轧卷板期货合约的最后交易日为合约月份的15日，遇国家法定节假日顺延，春节月份等最后交易日交易所可另行调整并通知。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热轧卷板期货合约的交易代码为HC。</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热轧卷板</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热轧卷板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热轧卷板期货临近交割月份套期保值交易持仓额度的申请应当在该套期保值所涉合约交割月前第二月的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第一个交易日至交割月前第一月的最后一个交易日之间提出，逾期交易所不再受理；热轧卷板期货临近交割月份套利交易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热轧卷板期货套期保值交易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热轧卷板期货适用期货转现货、仓库交割、厂库交割。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热轧卷板期货实行完税交割。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热轧卷板期货的交割品级详见《上海期货交易所热轧卷板期货合约》。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交割热轧卷板质量规定</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交割热轧卷板应当是在交易所注册的生产企业生产的注册商品</w:t>
      </w:r>
      <w:r>
        <w:rPr>
          <w:rFonts w:hint="eastAsia" w:eastAsia="方正仿宋简体"/>
          <w:color w:val="000000"/>
          <w:kern w:val="0"/>
          <w:sz w:val="30"/>
          <w:szCs w:val="30"/>
        </w:rPr>
        <w:t>。</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交割热轧卷板的外形、尺寸、重量及允许偏差应当符合GB/T3274-2017《碳素结构钢和低合金结构钢热轧厚钢板和钢带》或</w:t>
      </w:r>
      <w:r>
        <w:rPr>
          <w:rFonts w:hint="eastAsia" w:eastAsia="方正仿宋简体"/>
          <w:color w:val="000000"/>
          <w:kern w:val="0"/>
          <w:sz w:val="30"/>
          <w:szCs w:val="30"/>
        </w:rPr>
        <w:t>JIS G 3101-2024</w:t>
      </w:r>
      <w:r>
        <w:rPr>
          <w:rFonts w:eastAsia="方正仿宋简体"/>
          <w:color w:val="000000"/>
          <w:kern w:val="0"/>
          <w:sz w:val="30"/>
          <w:szCs w:val="30"/>
        </w:rPr>
        <w:t>《一般结构用轧制钢材》等相关规定。</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交割商品的规格</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每一标准仓单的热轧卷板，应当是同一生产企业、同一牌号和宽度、厚度的商品组成</w:t>
      </w:r>
      <w:r>
        <w:rPr>
          <w:rFonts w:hint="eastAsia" w:eastAsia="方正仿宋简体"/>
          <w:color w:val="000000"/>
          <w:kern w:val="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交割热轧卷板的包装</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交割热轧卷板包装、标志及质量证明书等应当符合GB/T 3274-2017《碳素结构钢和低合金结构钢热轧厚钢板和钢带》或</w:t>
      </w:r>
      <w:r>
        <w:rPr>
          <w:rFonts w:hint="eastAsia" w:eastAsia="方正仿宋简体"/>
          <w:color w:val="000000"/>
          <w:kern w:val="0"/>
          <w:sz w:val="30"/>
          <w:szCs w:val="30"/>
        </w:rPr>
        <w:t>JIS G 3101-2024</w:t>
      </w:r>
      <w:r>
        <w:rPr>
          <w:rFonts w:eastAsia="方正仿宋简体"/>
          <w:color w:val="000000"/>
          <w:kern w:val="0"/>
          <w:sz w:val="30"/>
          <w:szCs w:val="30"/>
        </w:rPr>
        <w:t>《一般结构用轧制钢材》等相关规定。</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color w:val="000000"/>
          <w:kern w:val="0"/>
          <w:sz w:val="30"/>
          <w:szCs w:val="30"/>
        </w:rPr>
        <w:t>交割热轧卷板以实际称重方式计量。每张热轧卷板标准仓单的</w:t>
      </w:r>
      <w:r>
        <w:rPr>
          <w:rFonts w:hint="eastAsia" w:eastAsia="方正仿宋简体"/>
          <w:color w:val="000000"/>
          <w:kern w:val="0"/>
          <w:sz w:val="30"/>
          <w:szCs w:val="30"/>
        </w:rPr>
        <w:t>溢短</w:t>
      </w:r>
      <w:r>
        <w:rPr>
          <w:rFonts w:eastAsia="方正仿宋简体"/>
          <w:color w:val="000000"/>
          <w:kern w:val="0"/>
          <w:sz w:val="30"/>
          <w:szCs w:val="30"/>
        </w:rPr>
        <w:t>不超过±5%。磅差不超过±0.3%</w:t>
      </w:r>
      <w:r>
        <w:rPr>
          <w:rFonts w:hint="eastAsia" w:eastAsia="方正仿宋简体"/>
          <w:color w:val="000000"/>
          <w:kern w:val="0"/>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热轧卷板期货合约的交割单位为300吨。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热轧卷板期货合约的交割日期为最后交易日后连续二个工作日。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热轧卷板期货合约交割结算的基准价为该期货合约最后交易日的结算价。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第二十四条</w:t>
      </w:r>
      <w:r>
        <w:rPr>
          <w:rFonts w:eastAsia="方正仿宋简体"/>
          <w:sz w:val="30"/>
          <w:szCs w:val="30"/>
        </w:rPr>
        <w:t xml:space="preserve"> 期转现使用标准仓单并通过交易所结算发生</w:t>
      </w:r>
      <w:r>
        <w:rPr>
          <w:rFonts w:eastAsia="方正仿宋简体"/>
          <w:color w:val="000000"/>
          <w:kern w:val="0"/>
          <w:sz w:val="30"/>
          <w:szCs w:val="30"/>
        </w:rPr>
        <w:t>热轧卷板</w:t>
      </w:r>
      <w:r>
        <w:rPr>
          <w:rFonts w:eastAsia="方正仿宋简体"/>
          <w:sz w:val="30"/>
          <w:szCs w:val="30"/>
        </w:rPr>
        <w:t>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highlight w:val="yellow"/>
        </w:rPr>
      </w:pPr>
      <w:r>
        <w:rPr>
          <w:rFonts w:eastAsia="方正仿宋简体"/>
          <w:b/>
          <w:sz w:val="30"/>
          <w:szCs w:val="30"/>
        </w:rPr>
        <w:t>第二节 仓库交割</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第二十五条 </w:t>
      </w:r>
      <w:r>
        <w:rPr>
          <w:rFonts w:eastAsia="方正仿宋简体"/>
          <w:color w:val="000000"/>
          <w:kern w:val="0"/>
          <w:sz w:val="30"/>
          <w:szCs w:val="30"/>
        </w:rPr>
        <w:t>交割热轧卷板的每批商品的有效期限为生产日起的360天内，每一仓库标准仓单的热轧卷板以其中最早的生产日期作为该标准仓单的生产日期</w:t>
      </w:r>
      <w:r>
        <w:rPr>
          <w:rFonts w:eastAsia="方正仿宋简体"/>
          <w:sz w:val="30"/>
          <w:szCs w:val="30"/>
        </w:rPr>
        <w:t>。</w:t>
      </w:r>
    </w:p>
    <w:p>
      <w:pPr>
        <w:spacing w:line="560" w:lineRule="exact"/>
        <w:ind w:firstLine="602" w:firstLineChars="200"/>
        <w:rPr>
          <w:rFonts w:eastAsia="方正仿宋简体"/>
          <w:sz w:val="30"/>
          <w:szCs w:val="30"/>
          <w:highlight w:val="yellow"/>
        </w:rPr>
      </w:pPr>
      <w:r>
        <w:rPr>
          <w:rFonts w:eastAsia="方正仿宋简体"/>
          <w:b/>
          <w:sz w:val="30"/>
          <w:szCs w:val="30"/>
        </w:rPr>
        <w:t xml:space="preserve">第二十六条 </w:t>
      </w:r>
      <w:r>
        <w:rPr>
          <w:rFonts w:eastAsia="方正仿宋简体"/>
          <w:color w:val="000000"/>
          <w:kern w:val="0"/>
          <w:sz w:val="30"/>
          <w:szCs w:val="30"/>
        </w:rPr>
        <w:t>用于交割的热轧卷板每一仓库标准仓单的标的实物应当作为一个堆放垛位进行堆放</w:t>
      </w:r>
      <w:r>
        <w:rPr>
          <w:rFonts w:eastAsia="方正仿宋简体"/>
          <w:sz w:val="30"/>
          <w:szCs w:val="30"/>
        </w:rPr>
        <w:t>。</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第二十七条</w:t>
      </w:r>
      <w:r>
        <w:rPr>
          <w:rFonts w:eastAsia="方正仿宋简体"/>
          <w:color w:val="000000"/>
          <w:kern w:val="0"/>
          <w:sz w:val="30"/>
          <w:szCs w:val="30"/>
        </w:rPr>
        <w:t xml:space="preserve"> 实物交割完成后，若买方对交割商品的质量、数量有异议的（有异议的热轧卷板应当在交割仓库内），应当在实物交割月份的下一月份的15日之前（含当日，遇法定假日时顺延至假日后的第一个工作日），向交易所提出书面申请，并应当同时提供交易所指定检验机构出具的质量鉴定结论。用于交割的热轧卷板每批商品的有效期应当涵盖本次交割的最后交割日。即使交割热轧卷板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申请单位申请交割厂库，净资产不足1亿元的，应当向交易所提供有关单位出具的担保函。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第三十</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b/>
          <w:bCs/>
          <w:sz w:val="30"/>
          <w:szCs w:val="30"/>
          <w:shd w:val="clear" w:color="FFFFFF" w:fill="D9D9D9"/>
        </w:rPr>
      </w:pPr>
      <w:r>
        <w:rPr>
          <w:rFonts w:eastAsia="方正仿宋简体"/>
          <w:sz w:val="30"/>
          <w:szCs w:val="30"/>
        </w:rPr>
        <w:t>厂库签发厂库标准仓单前，须向交易所提交签发申请。申请内容包括品种、牌号、商标、会员单位、货主名称、拟申请签发标准仓单数量等。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hint="eastAsia" w:eastAsia="方正仿宋简体"/>
          <w:b/>
          <w:sz w:val="30"/>
          <w:szCs w:val="30"/>
        </w:rPr>
        <w:t>第三十四</w:t>
      </w:r>
      <w:r>
        <w:rPr>
          <w:rFonts w:eastAsia="方正仿宋简体"/>
          <w:b/>
          <w:sz w:val="30"/>
          <w:szCs w:val="30"/>
        </w:rPr>
        <w:t>条</w:t>
      </w:r>
      <w:r>
        <w:rPr>
          <w:rFonts w:hint="eastAsia" w:eastAsia="方正仿宋简体"/>
          <w:sz w:val="30"/>
          <w:szCs w:val="30"/>
        </w:rPr>
        <w:t xml:space="preserve"> 热轧卷板厂库标准仓单货主向对应厂库申请提货的，厂库提供的出库商品规格（厚度分布）应当符合下列要求：</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厂库标准仓单货主提货数量≤900吨，出库商品可以是同一厚度。</w:t>
      </w:r>
    </w:p>
    <w:p>
      <w:pPr>
        <w:spacing w:line="560" w:lineRule="exact"/>
        <w:ind w:firstLine="600" w:firstLineChars="200"/>
        <w:rPr>
          <w:rFonts w:eastAsia="方正仿宋简体"/>
          <w:sz w:val="30"/>
          <w:szCs w:val="30"/>
        </w:rPr>
      </w:pPr>
      <w:r>
        <w:rPr>
          <w:rFonts w:hint="eastAsia" w:eastAsia="方正仿宋简体"/>
          <w:sz w:val="30"/>
          <w:szCs w:val="30"/>
        </w:rPr>
        <w:t>2. 900吨&lt;厂库标准仓单货主提货数量≤1800吨，出库商品至少是两个厚度，并且每一厚度提货数量不得高于其总提货数量的60%。</w:t>
      </w:r>
    </w:p>
    <w:p>
      <w:pPr>
        <w:numPr>
          <w:ilvl w:val="0"/>
          <w:numId w:val="4"/>
        </w:numPr>
        <w:spacing w:line="560" w:lineRule="exact"/>
        <w:ind w:firstLine="600" w:firstLineChars="200"/>
        <w:rPr>
          <w:rFonts w:eastAsia="方正仿宋简体"/>
          <w:sz w:val="30"/>
          <w:szCs w:val="30"/>
        </w:rPr>
      </w:pPr>
      <w:r>
        <w:rPr>
          <w:rFonts w:hint="eastAsia" w:eastAsia="方正仿宋简体"/>
          <w:sz w:val="30"/>
          <w:szCs w:val="30"/>
        </w:rPr>
        <w:t>1800吨&lt;厂库标准仓单货主提货数量≤3600吨，出库商品至少是三个厚度，并且每一厚度提货数量不得高于其总提货数量的45%。</w:t>
      </w:r>
    </w:p>
    <w:p>
      <w:pPr>
        <w:numPr>
          <w:ilvl w:val="0"/>
          <w:numId w:val="5"/>
        </w:numPr>
        <w:spacing w:line="560" w:lineRule="exact"/>
        <w:ind w:firstLine="600" w:firstLineChars="200"/>
        <w:rPr>
          <w:rFonts w:eastAsia="方正仿宋简体"/>
          <w:sz w:val="30"/>
          <w:szCs w:val="30"/>
        </w:rPr>
      </w:pPr>
      <w:r>
        <w:rPr>
          <w:rFonts w:hint="eastAsia" w:eastAsia="方正仿宋简体"/>
          <w:sz w:val="30"/>
          <w:szCs w:val="30"/>
        </w:rPr>
        <w:t>3600吨&lt;厂库标准仓单货主提货数量≤7200吨，出库商品至少是四个厚度，并且每一厚度提货数量不得高于其总提货数量的35%。</w:t>
      </w:r>
    </w:p>
    <w:p>
      <w:pPr>
        <w:numPr>
          <w:ilvl w:val="0"/>
          <w:numId w:val="5"/>
        </w:numPr>
        <w:spacing w:line="560" w:lineRule="exact"/>
        <w:ind w:firstLine="600" w:firstLineChars="200"/>
        <w:rPr>
          <w:rFonts w:eastAsia="方正仿宋简体"/>
          <w:sz w:val="30"/>
          <w:szCs w:val="30"/>
        </w:rPr>
      </w:pPr>
      <w:r>
        <w:rPr>
          <w:rFonts w:hint="eastAsia" w:eastAsia="方正仿宋简体"/>
          <w:sz w:val="30"/>
          <w:szCs w:val="30"/>
        </w:rPr>
        <w:t>7200吨&lt;厂库标准仓单货主提货数量≤12000吨，出库商品至少是五个厚度，并且每一厚度提货数量不得高于其总提货数量的25%。</w:t>
      </w:r>
    </w:p>
    <w:p>
      <w:pPr>
        <w:numPr>
          <w:ilvl w:val="0"/>
          <w:numId w:val="5"/>
        </w:numPr>
        <w:spacing w:line="560" w:lineRule="exact"/>
        <w:ind w:firstLine="600" w:firstLineChars="200"/>
        <w:rPr>
          <w:rFonts w:eastAsia="方正仿宋简体"/>
          <w:sz w:val="30"/>
          <w:szCs w:val="30"/>
        </w:rPr>
      </w:pPr>
      <w:r>
        <w:rPr>
          <w:rFonts w:hint="eastAsia" w:eastAsia="方正仿宋简体"/>
          <w:sz w:val="30"/>
          <w:szCs w:val="30"/>
        </w:rPr>
        <w:t>厂库标准仓单货主提货数量&gt;12000吨，出库商品至少是六个厚度，并且每一厚度提货数量不得高于其总提货数量的20%。</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三百六十日</w:t>
      </w:r>
      <w:r>
        <w:rPr>
          <w:rFonts w:eastAsia="方正仿宋简体"/>
          <w:sz w:val="30"/>
          <w:szCs w:val="30"/>
        </w:rPr>
        <w:t>之内</w:t>
      </w:r>
      <w:r>
        <w:rPr>
          <w:rFonts w:hint="eastAsia" w:eastAsia="方正仿宋简体"/>
          <w:sz w:val="30"/>
          <w:szCs w:val="30"/>
        </w:rPr>
        <w:t>，组成每一厂库标准仓单出库的热轧卷板生产日期应当不超过连续三十日。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出库商品重量以厂库检重为准。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当厂库发生第</w:t>
      </w:r>
      <w:r>
        <w:rPr>
          <w:rFonts w:hint="eastAsia" w:eastAsia="方正仿宋简体"/>
          <w:sz w:val="30"/>
          <w:szCs w:val="30"/>
        </w:rPr>
        <w:t>三十九</w:t>
      </w:r>
      <w:r>
        <w:rPr>
          <w:rFonts w:eastAsia="方正仿宋简体"/>
          <w:sz w:val="30"/>
          <w:szCs w:val="30"/>
        </w:rPr>
        <w:t>条、第</w:t>
      </w:r>
      <w:r>
        <w:rPr>
          <w:rFonts w:hint="eastAsia" w:eastAsia="方正仿宋简体"/>
          <w:sz w:val="30"/>
          <w:szCs w:val="30"/>
        </w:rPr>
        <w:t>四十</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当货主发生第</w:t>
      </w:r>
      <w:r>
        <w:rPr>
          <w:rFonts w:hint="eastAsia" w:eastAsia="方正仿宋简体"/>
          <w:sz w:val="30"/>
          <w:szCs w:val="30"/>
        </w:rPr>
        <w:t>三十七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条中的违约行为时，首先由货主直接向厂库支付赔偿金。货主未支付的或支付数额不足的，厂库可通过包括法律程序在内的其他手段向货主追索。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四十三</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条、第三十</w:t>
      </w:r>
      <w:r>
        <w:rPr>
          <w:rFonts w:hint="eastAsia" w:eastAsia="方正仿宋简体"/>
          <w:sz w:val="30"/>
          <w:szCs w:val="30"/>
        </w:rPr>
        <w:t>九</w:t>
      </w:r>
      <w:r>
        <w:rPr>
          <w:rFonts w:eastAsia="方正仿宋简体"/>
          <w:sz w:val="30"/>
          <w:szCs w:val="30"/>
        </w:rPr>
        <w:t>条、第</w:t>
      </w:r>
      <w:r>
        <w:rPr>
          <w:rFonts w:hint="eastAsia" w:eastAsia="方正仿宋简体"/>
          <w:sz w:val="30"/>
          <w:szCs w:val="30"/>
        </w:rPr>
        <w:t>四十</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第四十五</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热轧卷板期货合约的最低交易保证金为合约价值的4%。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热轧卷板期货合约上市运行不同阶段的交易保证金收取标准为：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热轧卷板交易保证金比例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 xml:space="preserve">条 </w:t>
      </w:r>
      <w:r>
        <w:rPr>
          <w:rFonts w:eastAsia="方正仿宋简体"/>
          <w:sz w:val="30"/>
          <w:szCs w:val="30"/>
        </w:rPr>
        <w:t>热轧卷板期货合约涨跌停板幅度为上一交易日结算价±3%。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热轧卷板期货合约在不同时期的限仓比例和限仓数额具体规定如下：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600"/>
        <w:gridCol w:w="1070"/>
        <w:gridCol w:w="980"/>
        <w:gridCol w:w="1064"/>
        <w:gridCol w:w="955"/>
        <w:gridCol w:w="1000"/>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183"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26"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207"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3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热轧卷板</w:t>
            </w: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120万手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3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w:t>
            </w:r>
          </w:p>
        </w:tc>
        <w:tc>
          <w:tcPr>
            <w:tcW w:w="598"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42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120000</w:t>
            </w:r>
          </w:p>
        </w:tc>
        <w:tc>
          <w:tcPr>
            <w:tcW w:w="586"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120000</w:t>
            </w:r>
          </w:p>
        </w:tc>
        <w:tc>
          <w:tcPr>
            <w:tcW w:w="63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8"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w:t>
      </w:r>
      <w:r>
        <w:rPr>
          <w:rFonts w:eastAsia="方正仿宋简体"/>
          <w:color w:val="000000"/>
          <w:sz w:val="30"/>
          <w:szCs w:val="30"/>
        </w:rPr>
        <w:t>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w:t>
      </w:r>
      <w:r>
        <w:rPr>
          <w:rFonts w:eastAsia="方正仿宋简体"/>
          <w:color w:val="000000"/>
          <w:sz w:val="30"/>
          <w:szCs w:val="30"/>
        </w:rPr>
        <w:t>热轧卷板期货合约的</w:t>
      </w:r>
      <w:r>
        <w:rPr>
          <w:rFonts w:hint="eastAsia" w:eastAsia="方正仿宋简体"/>
          <w:color w:val="000000"/>
          <w:sz w:val="30"/>
          <w:szCs w:val="30"/>
        </w:rPr>
        <w:t>一般</w:t>
      </w:r>
      <w:r>
        <w:rPr>
          <w:rFonts w:eastAsia="方正仿宋简体"/>
          <w:color w:val="000000"/>
          <w:sz w:val="30"/>
          <w:szCs w:val="30"/>
        </w:rPr>
        <w:t>持仓应当调整为30手的整倍数（遇市场特殊情况无法按期调整的，可以顺延一天）</w:t>
      </w:r>
      <w:r>
        <w:rPr>
          <w:rFonts w:hint="eastAsia" w:eastAsia="方正仿宋简体"/>
          <w:color w:val="000000"/>
          <w:sz w:val="30"/>
          <w:szCs w:val="30"/>
        </w:rPr>
        <w:t>；</w:t>
      </w:r>
      <w:r>
        <w:rPr>
          <w:rFonts w:eastAsia="方正仿宋简体"/>
          <w:color w:val="000000"/>
          <w:sz w:val="30"/>
          <w:szCs w:val="30"/>
        </w:rPr>
        <w:t>进入交割月后，热轧卷板期货合约</w:t>
      </w:r>
      <w:r>
        <w:rPr>
          <w:rFonts w:hint="eastAsia" w:eastAsia="方正仿宋简体"/>
          <w:color w:val="000000"/>
          <w:sz w:val="30"/>
          <w:szCs w:val="30"/>
        </w:rPr>
        <w:t>一般</w:t>
      </w:r>
      <w:r>
        <w:rPr>
          <w:rFonts w:eastAsia="方正仿宋简体"/>
          <w:color w:val="000000"/>
          <w:sz w:val="30"/>
          <w:szCs w:val="30"/>
        </w:rPr>
        <w:t>持仓应当是30手的整倍数，新</w:t>
      </w:r>
      <w:r>
        <w:rPr>
          <w:rFonts w:eastAsia="方正仿宋简体"/>
          <w:sz w:val="30"/>
          <w:szCs w:val="30"/>
        </w:rPr>
        <w:t>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交易所对某一热轧卷板期货合约采取强制减仓的，其申报平仓数量、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w:t>
      </w:r>
      <w:r>
        <w:rPr>
          <w:rFonts w:eastAsia="方正仿宋简体"/>
          <w:color w:val="000000"/>
          <w:sz w:val="30"/>
          <w:szCs w:val="30"/>
        </w:rPr>
        <w:t>，且</w:t>
      </w:r>
      <w:r>
        <w:rPr>
          <w:rFonts w:hint="eastAsia" w:eastAsia="方正仿宋简体"/>
          <w:color w:val="000000"/>
          <w:sz w:val="30"/>
          <w:szCs w:val="30"/>
        </w:rPr>
        <w:t>交易者</w:t>
      </w:r>
      <w:r>
        <w:rPr>
          <w:rFonts w:eastAsia="方正仿宋简体"/>
          <w:sz w:val="30"/>
          <w:szCs w:val="30"/>
        </w:rPr>
        <w:t>该热轧卷板期货合约的单位净持仓亏损大于或者等于强制减仓基准日结算价6%的所有申报平仓数量的总和为平仓数量。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五十四</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w:t>
      </w:r>
      <w:r>
        <w:rPr>
          <w:rFonts w:hint="eastAsia" w:eastAsia="方正仿宋简体"/>
          <w:b/>
          <w:sz w:val="30"/>
          <w:szCs w:val="30"/>
        </w:rPr>
        <w:t>五</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上海期货交易所不锈钢期货业务细则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sz w:val="30"/>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为了规范上海期货交易所（以下简称交易所）不锈钢期货相关业务，根据《上海期货交易所交易规则》《上海期货交易所不锈钢期货合约》以及相关业务规则，制定本细则。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不锈钢期货合约的交易单位为5吨/手。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不锈钢期货合约的报价单位为元（人民币）/吨。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不锈钢期货合约的最小变动价位为5元/吨。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不锈钢期货合约月份为1～12月。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不锈钢期货合约的交易时间为上午9:00～11:30，下午1:30～3:00和交易所规定的其他交易时间。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不锈钢期货合约的最后交易日为合约月份的15日，遇国家法定节假日顺延，春节月份等最后交易日交易所可另行调整并通知。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不锈钢期货合约的交易代码为SS。</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不锈钢</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不锈钢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不锈钢期货临近交割月份套期保值交易持仓额度的申请应当在该套期保值所涉合约交割月前第二月的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第一个交易日至交割月前第一月的最后一个交易日之间提出，逾期交易所不再受理；不锈钢期货临近交割月份套利交易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不锈钢期货套期保值交易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b/>
          <w:sz w:val="30"/>
          <w:szCs w:val="30"/>
        </w:rPr>
      </w:pPr>
      <w:r>
        <w:rPr>
          <w:rFonts w:eastAsia="方正仿宋简体"/>
          <w:b/>
          <w:sz w:val="30"/>
          <w:szCs w:val="30"/>
        </w:rPr>
        <w:t>第十三条</w:t>
      </w:r>
      <w:r>
        <w:rPr>
          <w:rFonts w:eastAsia="方正仿宋简体"/>
          <w:sz w:val="30"/>
          <w:szCs w:val="30"/>
        </w:rPr>
        <w:t xml:space="preserve"> 不锈钢期货适用期货转现货、仓库交割、厂库交割。</w:t>
      </w:r>
    </w:p>
    <w:p>
      <w:pPr>
        <w:spacing w:line="560" w:lineRule="exact"/>
        <w:ind w:firstLine="600" w:firstLineChars="200"/>
        <w:rPr>
          <w:rFonts w:eastAsia="方正仿宋简体"/>
          <w:b/>
          <w:sz w:val="30"/>
          <w:szCs w:val="30"/>
        </w:rPr>
      </w:pPr>
      <w:r>
        <w:rPr>
          <w:rFonts w:eastAsia="方正仿宋简体"/>
          <w:sz w:val="30"/>
          <w:szCs w:val="30"/>
        </w:rPr>
        <w:t>不锈钢期货实行完税交割</w:t>
      </w:r>
      <w:r>
        <w:rPr>
          <w:rFonts w:hint="eastAsia"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b/>
          <w:color w:val="FF0000"/>
          <w:sz w:val="30"/>
          <w:szCs w:val="30"/>
        </w:rPr>
        <w:t xml:space="preserve"> </w:t>
      </w:r>
      <w:r>
        <w:rPr>
          <w:rFonts w:eastAsia="方正仿宋简体"/>
          <w:sz w:val="30"/>
          <w:szCs w:val="30"/>
        </w:rPr>
        <w:t>不锈钢期货交割品级详见《上海期货交易所不锈钢期货合约》。</w:t>
      </w:r>
    </w:p>
    <w:p>
      <w:pPr>
        <w:spacing w:line="560" w:lineRule="exact"/>
        <w:ind w:firstLine="601"/>
        <w:rPr>
          <w:rFonts w:eastAsia="方正仿宋简体"/>
          <w:sz w:val="30"/>
          <w:szCs w:val="30"/>
        </w:rPr>
      </w:pPr>
      <w:r>
        <w:rPr>
          <w:rFonts w:eastAsia="方正仿宋简体"/>
          <w:b/>
          <w:sz w:val="30"/>
          <w:szCs w:val="30"/>
        </w:rPr>
        <w:t>第十五条</w:t>
      </w:r>
      <w:r>
        <w:rPr>
          <w:rFonts w:eastAsia="方正仿宋简体"/>
          <w:sz w:val="30"/>
          <w:szCs w:val="30"/>
        </w:rPr>
        <w:t xml:space="preserve"> 交割不锈钢质量规定</w:t>
      </w:r>
    </w:p>
    <w:p>
      <w:pPr>
        <w:spacing w:line="560" w:lineRule="exact"/>
        <w:ind w:firstLine="601"/>
        <w:rPr>
          <w:rFonts w:eastAsia="方正仿宋简体"/>
          <w:sz w:val="30"/>
          <w:szCs w:val="30"/>
        </w:rPr>
      </w:pPr>
      <w:r>
        <w:rPr>
          <w:rFonts w:eastAsia="方正仿宋简体"/>
          <w:sz w:val="30"/>
          <w:szCs w:val="30"/>
        </w:rPr>
        <w:t>交割不锈钢应当是在交易所注册的生产企业生产的注册品牌，或者是交易所认可的生产企业生产的指定品牌（由交易所规定并公告）。</w:t>
      </w:r>
    </w:p>
    <w:p>
      <w:pPr>
        <w:spacing w:line="560" w:lineRule="exact"/>
        <w:ind w:firstLine="601"/>
        <w:rPr>
          <w:rFonts w:eastAsia="方正仿宋简体"/>
          <w:sz w:val="30"/>
          <w:szCs w:val="30"/>
        </w:rPr>
      </w:pPr>
      <w:r>
        <w:rPr>
          <w:rFonts w:eastAsia="方正仿宋简体"/>
          <w:sz w:val="30"/>
          <w:szCs w:val="30"/>
        </w:rPr>
        <w:t>交割不锈钢的质量应当符合GB/T3280-2015《不锈钢冷轧钢板和钢带》或者</w:t>
      </w:r>
      <w:r>
        <w:rPr>
          <w:rFonts w:hint="eastAsia" w:eastAsia="方正仿宋简体"/>
          <w:sz w:val="30"/>
          <w:szCs w:val="30"/>
        </w:rPr>
        <w:t>JIS G 4305</w:t>
      </w:r>
      <w:r>
        <w:rPr>
          <w:rFonts w:hint="eastAsia" w:eastAsia="方正仿宋简体"/>
          <w:sz w:val="30"/>
          <w:szCs w:val="30"/>
          <w:lang w:val="en-US" w:eastAsia="zh-CN"/>
        </w:rPr>
        <w:t>:</w:t>
      </w:r>
      <w:r>
        <w:rPr>
          <w:rFonts w:hint="eastAsia" w:eastAsia="方正仿宋简体"/>
          <w:sz w:val="30"/>
          <w:szCs w:val="30"/>
        </w:rPr>
        <w:t>2021</w:t>
      </w:r>
      <w:r>
        <w:rPr>
          <w:rFonts w:eastAsia="方正仿宋简体"/>
          <w:sz w:val="30"/>
          <w:szCs w:val="30"/>
        </w:rPr>
        <w:t>《冷轧不锈钢钢板及钢带》，以及《上海期货交易所钢材交割商品注册管理规定》的规定。</w:t>
      </w:r>
    </w:p>
    <w:p>
      <w:pPr>
        <w:spacing w:line="560" w:lineRule="exact"/>
        <w:ind w:firstLine="601"/>
        <w:rPr>
          <w:rFonts w:eastAsia="方正仿宋简体"/>
          <w:sz w:val="30"/>
          <w:szCs w:val="30"/>
        </w:rPr>
      </w:pPr>
      <w:r>
        <w:rPr>
          <w:rFonts w:eastAsia="方正仿宋简体"/>
          <w:sz w:val="30"/>
          <w:szCs w:val="30"/>
        </w:rPr>
        <w:t>交割不锈钢的表面质量检验按照《上海期货交易所钢材交割商品注册管理规定》执行。</w:t>
      </w:r>
    </w:p>
    <w:p>
      <w:pPr>
        <w:spacing w:line="560" w:lineRule="exact"/>
        <w:ind w:firstLine="601"/>
        <w:rPr>
          <w:rFonts w:eastAsia="方正仿宋简体"/>
          <w:sz w:val="30"/>
          <w:szCs w:val="30"/>
        </w:rPr>
      </w:pPr>
      <w:r>
        <w:rPr>
          <w:rFonts w:eastAsia="方正仿宋简体"/>
          <w:b/>
          <w:sz w:val="30"/>
          <w:szCs w:val="30"/>
        </w:rPr>
        <w:t>第十六条</w:t>
      </w:r>
      <w:r>
        <w:rPr>
          <w:rFonts w:hint="eastAsia" w:eastAsia="方正仿宋简体"/>
          <w:b/>
          <w:sz w:val="30"/>
          <w:szCs w:val="30"/>
        </w:rPr>
        <w:t xml:space="preserve"> </w:t>
      </w:r>
      <w:r>
        <w:rPr>
          <w:rFonts w:eastAsia="方正仿宋简体"/>
          <w:sz w:val="30"/>
          <w:szCs w:val="30"/>
        </w:rPr>
        <w:t>交割商品的规格</w:t>
      </w:r>
    </w:p>
    <w:p>
      <w:pPr>
        <w:spacing w:line="560" w:lineRule="exact"/>
        <w:ind w:firstLine="601"/>
        <w:rPr>
          <w:rFonts w:eastAsia="方正仿宋简体"/>
          <w:sz w:val="30"/>
          <w:szCs w:val="30"/>
          <w:highlight w:val="yellow"/>
        </w:rPr>
      </w:pPr>
      <w:r>
        <w:rPr>
          <w:rFonts w:eastAsia="方正仿宋简体"/>
          <w:sz w:val="30"/>
          <w:szCs w:val="30"/>
        </w:rPr>
        <w:t>每一标准仓单不锈钢，应当是同一生产企业生产、同一（注册）商标、同一牌号、同一宽度、同一厚度和同一边部状态的商品组成。</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交割不锈钢的包装</w:t>
      </w:r>
    </w:p>
    <w:p>
      <w:pPr>
        <w:spacing w:line="560" w:lineRule="exact"/>
        <w:ind w:firstLine="600" w:firstLineChars="200"/>
        <w:rPr>
          <w:rFonts w:eastAsia="方正仿宋简体"/>
          <w:sz w:val="30"/>
          <w:szCs w:val="30"/>
        </w:rPr>
      </w:pPr>
      <w:r>
        <w:rPr>
          <w:rFonts w:eastAsia="方正仿宋简体"/>
          <w:sz w:val="30"/>
          <w:szCs w:val="30"/>
        </w:rPr>
        <w:t>交割不锈钢标志以及质量证明书等应当符合GB/T3280-2015《不锈钢冷轧钢板和钢带》或者</w:t>
      </w:r>
      <w:r>
        <w:rPr>
          <w:rFonts w:hint="eastAsia" w:eastAsia="方正仿宋简体"/>
          <w:sz w:val="30"/>
          <w:szCs w:val="30"/>
        </w:rPr>
        <w:t>JIS G 4305</w:t>
      </w:r>
      <w:r>
        <w:rPr>
          <w:rFonts w:hint="eastAsia" w:eastAsia="方正仿宋简体"/>
          <w:sz w:val="30"/>
          <w:szCs w:val="30"/>
          <w:lang w:val="en-US" w:eastAsia="zh-CN"/>
        </w:rPr>
        <w:t>:</w:t>
      </w:r>
      <w:r>
        <w:rPr>
          <w:rFonts w:hint="eastAsia" w:eastAsia="方正仿宋简体"/>
          <w:sz w:val="30"/>
          <w:szCs w:val="30"/>
        </w:rPr>
        <w:t>2021</w:t>
      </w:r>
      <w:r>
        <w:rPr>
          <w:rFonts w:eastAsia="方正仿宋简体"/>
          <w:sz w:val="30"/>
          <w:szCs w:val="30"/>
        </w:rPr>
        <w:t>《冷轧不锈钢钢板及钢带》的规定。</w:t>
      </w:r>
    </w:p>
    <w:p>
      <w:pPr>
        <w:spacing w:line="560" w:lineRule="exact"/>
        <w:ind w:firstLine="600" w:firstLineChars="200"/>
        <w:rPr>
          <w:rFonts w:eastAsia="方正仿宋简体"/>
          <w:sz w:val="30"/>
          <w:szCs w:val="30"/>
        </w:rPr>
      </w:pPr>
      <w:r>
        <w:rPr>
          <w:rFonts w:eastAsia="方正仿宋简体"/>
          <w:sz w:val="30"/>
          <w:szCs w:val="30"/>
        </w:rPr>
        <w:t>交割不锈钢的包装应当符合《上海期货交易所钢材交割商品注册管理规定》的规定。</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1"/>
        <w:rPr>
          <w:rFonts w:eastAsia="方正仿宋简体"/>
          <w:sz w:val="30"/>
          <w:szCs w:val="30"/>
        </w:rPr>
      </w:pPr>
      <w:r>
        <w:rPr>
          <w:rFonts w:eastAsia="方正仿宋简体"/>
          <w:sz w:val="30"/>
          <w:szCs w:val="30"/>
        </w:rPr>
        <w:t>应当提供注册生产企业或者交易所认可生产企业出具的产品质量证明书。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sz w:val="30"/>
          <w:szCs w:val="30"/>
        </w:rPr>
        <w:t>交割不锈钢按净重进行计量。每张不锈钢标准仓单的溢短不超过±5%，磅差不超过±0.3%</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bCs/>
          <w:sz w:val="30"/>
          <w:szCs w:val="30"/>
        </w:rPr>
        <w:t>不锈钢</w:t>
      </w:r>
      <w:r>
        <w:rPr>
          <w:rFonts w:eastAsia="方正仿宋简体"/>
          <w:sz w:val="30"/>
          <w:szCs w:val="30"/>
        </w:rPr>
        <w:t>期货合约的交割单位为60吨。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不锈钢期货合约的交割日期为最后交易日后连续二个工作日。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不锈钢期货合约交割结算的基准价为该期货合约最后5个有成交交易日的结算价的算术平均值。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交割地点：交易所交割仓库和交割厂库，由交易所另行公告。</w:t>
      </w:r>
    </w:p>
    <w:p>
      <w:pPr>
        <w:spacing w:line="560" w:lineRule="exact"/>
        <w:ind w:firstLine="601"/>
        <w:rPr>
          <w:rFonts w:eastAsia="方正仿宋简体"/>
          <w:sz w:val="30"/>
          <w:szCs w:val="30"/>
        </w:rPr>
      </w:pPr>
      <w:r>
        <w:rPr>
          <w:rFonts w:eastAsia="方正仿宋简体"/>
          <w:b/>
          <w:sz w:val="30"/>
          <w:szCs w:val="30"/>
        </w:rPr>
        <w:t xml:space="preserve">第二十四条 </w:t>
      </w:r>
      <w:r>
        <w:rPr>
          <w:rFonts w:eastAsia="方正仿宋简体"/>
          <w:sz w:val="30"/>
          <w:szCs w:val="30"/>
        </w:rPr>
        <w:t>包装以及表面质量异议的处理</w:t>
      </w:r>
    </w:p>
    <w:p>
      <w:pPr>
        <w:spacing w:line="560" w:lineRule="exact"/>
        <w:ind w:firstLine="601"/>
        <w:rPr>
          <w:rFonts w:eastAsia="方正仿宋简体"/>
          <w:sz w:val="30"/>
          <w:szCs w:val="30"/>
        </w:rPr>
      </w:pPr>
      <w:r>
        <w:rPr>
          <w:rFonts w:eastAsia="方正仿宋简体"/>
          <w:sz w:val="30"/>
          <w:szCs w:val="30"/>
        </w:rPr>
        <w:t>（一）包装以及表面质量异议不属于交割违约</w:t>
      </w:r>
      <w:r>
        <w:rPr>
          <w:rFonts w:hint="eastAsia" w:eastAsia="方正仿宋简体"/>
          <w:sz w:val="30"/>
          <w:szCs w:val="30"/>
        </w:rPr>
        <w:t>。</w:t>
      </w:r>
    </w:p>
    <w:p>
      <w:pPr>
        <w:spacing w:line="560" w:lineRule="exact"/>
        <w:ind w:firstLine="601"/>
        <w:rPr>
          <w:rFonts w:eastAsia="方正仿宋简体"/>
          <w:sz w:val="30"/>
          <w:szCs w:val="30"/>
        </w:rPr>
      </w:pPr>
      <w:r>
        <w:rPr>
          <w:rFonts w:eastAsia="方正仿宋简体"/>
          <w:sz w:val="30"/>
          <w:szCs w:val="30"/>
        </w:rPr>
        <w:t>（二）货主对不锈钢商品包装或者表面质量如麻点、擦划伤、海水浸泡痕迹等提出异议的，应当由生产企业、交割仓库、卖方或者首次制成标准仓单的一方配合解决。</w:t>
      </w:r>
    </w:p>
    <w:p>
      <w:pPr>
        <w:spacing w:line="560" w:lineRule="exact"/>
        <w:ind w:firstLine="601"/>
        <w:rPr>
          <w:rFonts w:eastAsia="方正仿宋简体"/>
          <w:color w:val="000000"/>
          <w:kern w:val="0"/>
          <w:sz w:val="30"/>
          <w:szCs w:val="30"/>
          <w:highlight w:val="green"/>
        </w:rPr>
      </w:pPr>
      <w:r>
        <w:rPr>
          <w:rFonts w:eastAsia="方正仿宋简体"/>
          <w:sz w:val="30"/>
          <w:szCs w:val="30"/>
        </w:rPr>
        <w:t>指定检验机构可以根据货主等异议主体的申请，按照《上海期货交易所钢材交割商品注册管理规定》出具质量检验报告。检验报告的结果仅适用于被检验的该卷货物。</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期转现使用标准仓单并通过交易所结算发生不锈钢交割实物质量纠纷的，买方应当在货款和标准仓单交换日后的25天内提出质量异议申请，并应当同时提供交易所指定检验机构出具的质量鉴定结论。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highlight w:val="yellow"/>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color w:val="000000"/>
          <w:sz w:val="30"/>
          <w:szCs w:val="30"/>
        </w:rPr>
        <w:t>不锈钢仓库标准仓单</w:t>
      </w:r>
      <w:r>
        <w:rPr>
          <w:rFonts w:eastAsia="方正仿宋简体"/>
          <w:sz w:val="30"/>
          <w:szCs w:val="30"/>
        </w:rPr>
        <w:t>有效期限为该批次产品最早生产日起的360天内。</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用于交割的不锈钢每一仓库标准仓单的标的实物应当作为一个堆放垛位进行堆放。</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第二十八条</w:t>
      </w:r>
      <w:r>
        <w:rPr>
          <w:rFonts w:eastAsia="方正仿宋简体"/>
          <w:color w:val="000000"/>
          <w:kern w:val="0"/>
          <w:sz w:val="30"/>
          <w:szCs w:val="30"/>
        </w:rPr>
        <w:t xml:space="preserve"> 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用于交割的不锈钢每批商品的有效期应当涵盖本次交割的最后交割日。即使交割不锈钢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申请单位申请交割厂库，净资产不足</w:t>
      </w:r>
      <w:r>
        <w:rPr>
          <w:rFonts w:eastAsia="方正仿宋简体"/>
          <w:sz w:val="30"/>
          <w:szCs w:val="30"/>
        </w:rPr>
        <w:t>1</w:t>
      </w:r>
      <w:r>
        <w:rPr>
          <w:rFonts w:hint="eastAsia" w:eastAsia="方正仿宋简体"/>
          <w:sz w:val="30"/>
          <w:szCs w:val="30"/>
        </w:rPr>
        <w:t>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第三十</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第三十一</w:t>
      </w:r>
      <w:r>
        <w:rPr>
          <w:rFonts w:eastAsia="方正仿宋简体"/>
          <w:b/>
          <w:sz w:val="30"/>
          <w:szCs w:val="30"/>
        </w:rPr>
        <w:t>条</w:t>
      </w:r>
      <w:r>
        <w:rPr>
          <w:rFonts w:hint="eastAsia" w:eastAsia="方正仿宋简体"/>
          <w:b/>
          <w:sz w:val="30"/>
          <w:szCs w:val="30"/>
        </w:rPr>
        <w:t xml:space="preserve"> </w:t>
      </w:r>
      <w:r>
        <w:rPr>
          <w:rFonts w:hint="eastAsia" w:eastAsia="方正仿宋简体"/>
          <w:sz w:val="30"/>
          <w:szCs w:val="30"/>
        </w:rPr>
        <w:t>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b/>
          <w:bCs/>
          <w:sz w:val="30"/>
          <w:szCs w:val="30"/>
          <w:shd w:val="clear" w:color="FFFFFF" w:fill="D9D9D9"/>
        </w:rPr>
      </w:pPr>
      <w:r>
        <w:rPr>
          <w:rFonts w:eastAsia="方正仿宋简体"/>
          <w:sz w:val="30"/>
          <w:szCs w:val="30"/>
        </w:rPr>
        <w:t>厂库签发厂库标准仓单前应当向交易所提交签发申请。申请内容包括品种、牌号、商标、规格、会员单位、货主名称、拟申请签发标准仓单数量等。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厂库标准仓单的有效期为厂库标准仓单生成之日起的360天内。</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申请内容应当包括数量、拟提货日、提货方式、提货计划（每日提货量）、提货人身份证件号码、联系电话等相关内容。</w:t>
      </w:r>
    </w:p>
    <w:p>
      <w:pPr>
        <w:spacing w:line="560" w:lineRule="exact"/>
        <w:ind w:firstLine="600" w:firstLineChars="200"/>
        <w:rPr>
          <w:rFonts w:eastAsia="方正仿宋简体"/>
          <w:sz w:val="30"/>
          <w:szCs w:val="30"/>
        </w:rPr>
      </w:pPr>
      <w:r>
        <w:rPr>
          <w:rFonts w:eastAsia="方正仿宋简体"/>
          <w:sz w:val="30"/>
          <w:szCs w:val="30"/>
        </w:rPr>
        <w:t>（二）厂库在收到货主提货申请后的3个工作日内、参照货主提交的提货日以及企业的生产计划等，确认货主的提货申请。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以参照各个货主申请提货日的先后、提货计划及生产计划等统筹安排发货，并在货主提交提货申请后的3个工作日内，向货主提供一个可供选择的提货时间范围和发货计划（每日发货量）。厂库提供的可供货主选择的最早提货日，应当在货主提交的拟提货日后的10天内。货主无异议的，可选择并确定其中一天为提货日，并确定发货计划。货主有异议的，可以重新和厂库协商。</w:t>
      </w:r>
    </w:p>
    <w:p>
      <w:pPr>
        <w:spacing w:line="560" w:lineRule="exact"/>
        <w:ind w:firstLine="600" w:firstLineChars="200"/>
        <w:rPr>
          <w:rFonts w:eastAsia="方正仿宋简体"/>
          <w:sz w:val="30"/>
          <w:szCs w:val="30"/>
        </w:rPr>
      </w:pPr>
      <w:r>
        <w:rPr>
          <w:rFonts w:eastAsia="方正仿宋简体"/>
          <w:sz w:val="30"/>
          <w:szCs w:val="30"/>
        </w:rPr>
        <w:t>（三）因第二项所述多个货主同时申请提货而造成货主提货时间的延迟，厂库不承担经济责任。但是厂库应当及时报告交易所书面备案，阐明原因。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出库商品的生产日期应</w:t>
      </w:r>
      <w:r>
        <w:rPr>
          <w:rFonts w:hint="eastAsia" w:eastAsia="方正仿宋简体"/>
          <w:sz w:val="30"/>
          <w:szCs w:val="30"/>
        </w:rPr>
        <w:t>在货主和厂库之间已经确定的提货日之前的三百六十日之内，组成每一厂库标准仓单出库的不锈钢生产日期应当不超过连续三十日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出库商品重量以出库商品标签净重为准。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应当按约定的提货日和发货计划到厂库提货。过了提货日但在约定的提货日后15日内（含第十五日）到厂库提货，或者因非厂库过错的原因而无法按约定的日发货计划提货，厂库仍应当按照不锈钢期货合约规定的质量标准承担有关商品质量的责任，并按照当时各货主的提货情况统一安排发货计划，直至全部发完。</w:t>
      </w:r>
    </w:p>
    <w:p>
      <w:pPr>
        <w:spacing w:line="560" w:lineRule="exact"/>
        <w:ind w:firstLine="600" w:firstLineChars="200"/>
        <w:rPr>
          <w:rFonts w:eastAsia="方正仿宋简体"/>
          <w:sz w:val="30"/>
          <w:szCs w:val="30"/>
        </w:rPr>
      </w:pPr>
      <w:r>
        <w:rPr>
          <w:rFonts w:eastAsia="方正仿宋简体"/>
          <w:sz w:val="30"/>
          <w:szCs w:val="30"/>
        </w:rPr>
        <w:t>货主应当向厂库支付滞纳金。滞纳金金额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因为货主原因造成发货延迟的，由双方约定另行协商处理。</w:t>
      </w:r>
    </w:p>
    <w:p>
      <w:pPr>
        <w:spacing w:line="560" w:lineRule="exact"/>
        <w:ind w:firstLine="602" w:firstLineChars="200"/>
        <w:rPr>
          <w:rFonts w:eastAsia="方正仿宋简体"/>
          <w:b/>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 xml:space="preserve">条 </w:t>
      </w:r>
      <w:r>
        <w:rPr>
          <w:rFonts w:eastAsia="方正仿宋简体"/>
          <w:bCs/>
          <w:sz w:val="30"/>
          <w:szCs w:val="30"/>
        </w:rPr>
        <w:t>货主未在约定的提货日后15日内（含第十五日）到厂库提货，货主应当向厂库支付滞纳金，具体提货事宜由双方自行协商。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bCs/>
          <w:sz w:val="30"/>
          <w:szCs w:val="30"/>
        </w:rPr>
        <w:t>第三十</w:t>
      </w:r>
      <w:r>
        <w:rPr>
          <w:rFonts w:hint="eastAsia" w:eastAsia="方正仿宋简体"/>
          <w:b/>
          <w:bCs/>
          <w:sz w:val="30"/>
          <w:szCs w:val="30"/>
        </w:rPr>
        <w:t>九</w:t>
      </w:r>
      <w:r>
        <w:rPr>
          <w:rFonts w:eastAsia="方正仿宋简体"/>
          <w:b/>
          <w:bCs/>
          <w:sz w:val="30"/>
          <w:szCs w:val="30"/>
        </w:rPr>
        <w:t>条</w:t>
      </w:r>
      <w:r>
        <w:rPr>
          <w:rFonts w:eastAsia="方正仿宋简体"/>
          <w:sz w:val="30"/>
          <w:szCs w:val="30"/>
        </w:rPr>
        <w:t xml:space="preserve"> 货主在约定的提货日到库提货，厂库未按约定的发货计划发货，但在约定的提货日后15日内（含第十五日）完成了相应商品的发货，厂库应当向货主支付赔偿金。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厂库在约定的提货日后15日（含第十五日）内未完成按日发货计划相应商品的发货，货主可以做如下选择：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adjustRightInd w:val="0"/>
        <w:snapToGrid w:val="0"/>
        <w:spacing w:line="560" w:lineRule="exact"/>
        <w:ind w:firstLine="602" w:firstLineChars="200"/>
        <w:rPr>
          <w:rFonts w:eastAsia="方正仿宋简体"/>
          <w:color w:val="000000"/>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color w:val="000000"/>
          <w:sz w:val="30"/>
          <w:szCs w:val="30"/>
        </w:rPr>
        <w:t>当厂库发生</w:t>
      </w:r>
      <w:r>
        <w:rPr>
          <w:rFonts w:eastAsia="方正仿宋简体"/>
          <w:sz w:val="30"/>
          <w:szCs w:val="30"/>
        </w:rPr>
        <w:t>第</w:t>
      </w:r>
      <w:r>
        <w:rPr>
          <w:rFonts w:hint="eastAsia" w:eastAsia="方正仿宋简体"/>
          <w:sz w:val="30"/>
          <w:szCs w:val="30"/>
        </w:rPr>
        <w:t>三十九</w:t>
      </w:r>
      <w:r>
        <w:rPr>
          <w:rFonts w:eastAsia="方正仿宋简体"/>
          <w:sz w:val="30"/>
          <w:szCs w:val="30"/>
        </w:rPr>
        <w:t>条、第</w:t>
      </w:r>
      <w:r>
        <w:rPr>
          <w:rFonts w:hint="eastAsia" w:eastAsia="方正仿宋简体"/>
          <w:sz w:val="30"/>
          <w:szCs w:val="30"/>
        </w:rPr>
        <w:t>四十</w:t>
      </w:r>
      <w:r>
        <w:rPr>
          <w:rFonts w:eastAsia="方正仿宋简体"/>
          <w:sz w:val="30"/>
          <w:szCs w:val="30"/>
        </w:rPr>
        <w:t>条</w:t>
      </w:r>
      <w:r>
        <w:rPr>
          <w:rFonts w:eastAsia="方正仿宋简体"/>
          <w:color w:val="000000"/>
          <w:sz w:val="30"/>
          <w:szCs w:val="30"/>
        </w:rPr>
        <w:t>中的违约行为时，厂库直接向货主支付赔偿金、返还货款和追加赔偿金。</w:t>
      </w:r>
    </w:p>
    <w:p>
      <w:pPr>
        <w:adjustRightInd w:val="0"/>
        <w:snapToGrid w:val="0"/>
        <w:spacing w:line="560" w:lineRule="exact"/>
        <w:ind w:firstLine="600" w:firstLineChars="200"/>
        <w:rPr>
          <w:rFonts w:eastAsia="方正仿宋简体"/>
          <w:color w:val="000000"/>
          <w:sz w:val="30"/>
          <w:szCs w:val="30"/>
        </w:rPr>
      </w:pPr>
      <w:r>
        <w:rPr>
          <w:rFonts w:eastAsia="方正仿宋简体"/>
          <w:color w:val="000000"/>
          <w:sz w:val="30"/>
          <w:szCs w:val="30"/>
        </w:rPr>
        <w:t>厂库未支付或者支付数额不足的，交易所按照以下步骤向货主支付：</w:t>
      </w:r>
    </w:p>
    <w:p>
      <w:pPr>
        <w:adjustRightInd w:val="0"/>
        <w:snapToGrid w:val="0"/>
        <w:spacing w:line="560" w:lineRule="exact"/>
        <w:ind w:firstLine="600" w:firstLineChars="200"/>
        <w:rPr>
          <w:rFonts w:eastAsia="方正仿宋简体"/>
          <w:color w:val="000000"/>
          <w:sz w:val="30"/>
          <w:szCs w:val="30"/>
        </w:rPr>
      </w:pPr>
      <w:r>
        <w:rPr>
          <w:rFonts w:eastAsia="方正仿宋简体"/>
          <w:color w:val="000000"/>
          <w:sz w:val="30"/>
          <w:szCs w:val="30"/>
        </w:rPr>
        <w:t>（一）动用厂库提供的担保方式支付；</w:t>
      </w:r>
    </w:p>
    <w:p>
      <w:pPr>
        <w:spacing w:line="560" w:lineRule="exact"/>
        <w:ind w:firstLine="600" w:firstLineChars="200"/>
        <w:rPr>
          <w:rFonts w:eastAsia="方正仿宋简体"/>
          <w:color w:val="000000"/>
          <w:sz w:val="30"/>
          <w:szCs w:val="30"/>
        </w:rPr>
      </w:pPr>
      <w:r>
        <w:rPr>
          <w:rFonts w:eastAsia="方正仿宋简体"/>
          <w:color w:val="000000"/>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当货主发生第</w:t>
      </w:r>
      <w:r>
        <w:rPr>
          <w:rFonts w:hint="eastAsia" w:eastAsia="方正仿宋简体"/>
          <w:sz w:val="30"/>
          <w:szCs w:val="30"/>
        </w:rPr>
        <w:t>三十七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条中的违约行为时，货主直接向厂库支付滞纳金。货主未支付的或支付数额不足的，厂库可以通过包括法律程序在内的其他手段向货主追索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条、第三十</w:t>
      </w:r>
      <w:r>
        <w:rPr>
          <w:rFonts w:hint="eastAsia" w:eastAsia="方正仿宋简体"/>
          <w:sz w:val="30"/>
          <w:szCs w:val="30"/>
        </w:rPr>
        <w:t>九</w:t>
      </w:r>
      <w:r>
        <w:rPr>
          <w:rFonts w:eastAsia="方正仿宋简体"/>
          <w:sz w:val="30"/>
          <w:szCs w:val="30"/>
        </w:rPr>
        <w:t>条、第</w:t>
      </w:r>
      <w:r>
        <w:rPr>
          <w:rFonts w:hint="eastAsia" w:eastAsia="方正仿宋简体"/>
          <w:sz w:val="30"/>
          <w:szCs w:val="30"/>
        </w:rPr>
        <w:t>四十</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提货方对交割商品的质量有异议的，应当在实物交收完成后</w:t>
      </w:r>
      <w:r>
        <w:rPr>
          <w:rFonts w:hint="eastAsia" w:eastAsia="方正仿宋简体"/>
          <w:sz w:val="30"/>
          <w:szCs w:val="30"/>
        </w:rPr>
        <w:t>十日</w:t>
      </w:r>
      <w:r>
        <w:rPr>
          <w:rFonts w:eastAsia="方正仿宋简体"/>
          <w:sz w:val="30"/>
          <w:szCs w:val="30"/>
        </w:rPr>
        <w:t>内，向交易所提出书面申请，并同时提供交易所指定检验机构出具的质量鉴定结论。逾期未提出申请的，视为提货方对所交割商品无异议，交易所不再受理交割商品有异议的申请。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第四十五</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不锈钢期货合约的最低交易保证金为合约价值的5%。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不锈钢期货合约上市运行不同阶段的交易保证金收取标准为：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不锈钢交易保证金比例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 xml:space="preserve">条 </w:t>
      </w:r>
      <w:r>
        <w:rPr>
          <w:rFonts w:eastAsia="方正仿宋简体"/>
          <w:sz w:val="30"/>
          <w:szCs w:val="30"/>
        </w:rPr>
        <w:t>不锈钢期货合约涨跌停板幅度为上一交易日结算价±4%。</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不锈钢期货合约在不同时期的限仓比例和限仓数额具体规定如下：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600"/>
        <w:gridCol w:w="1070"/>
        <w:gridCol w:w="1187"/>
        <w:gridCol w:w="856"/>
        <w:gridCol w:w="955"/>
        <w:gridCol w:w="1001"/>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307"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083"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350"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083"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71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12"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不锈钢</w:t>
            </w: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71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1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98"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kern w:val="0"/>
                <w:sz w:val="24"/>
              </w:rPr>
              <w:t>360</w:t>
            </w:r>
          </w:p>
        </w:tc>
        <w:tc>
          <w:tcPr>
            <w:tcW w:w="42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kern w:val="0"/>
                <w:sz w:val="24"/>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7000</w:t>
            </w:r>
          </w:p>
        </w:tc>
        <w:tc>
          <w:tcPr>
            <w:tcW w:w="71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7000</w:t>
            </w:r>
          </w:p>
        </w:tc>
        <w:tc>
          <w:tcPr>
            <w:tcW w:w="51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8"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w:t>
      </w:r>
      <w:r>
        <w:rPr>
          <w:rFonts w:eastAsia="方正仿宋简体"/>
          <w:color w:val="000000"/>
          <w:sz w:val="30"/>
          <w:szCs w:val="30"/>
        </w:rPr>
        <w:t>第一月的最后一个交易日收盘前，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w:t>
      </w:r>
      <w:r>
        <w:rPr>
          <w:rFonts w:eastAsia="方正仿宋简体"/>
          <w:color w:val="000000"/>
          <w:sz w:val="30"/>
          <w:szCs w:val="30"/>
        </w:rPr>
        <w:t>不锈钢期货合约的</w:t>
      </w:r>
      <w:r>
        <w:rPr>
          <w:rFonts w:hint="eastAsia" w:eastAsia="方正仿宋简体"/>
          <w:color w:val="000000"/>
          <w:sz w:val="30"/>
          <w:szCs w:val="30"/>
        </w:rPr>
        <w:t>一般</w:t>
      </w:r>
      <w:r>
        <w:rPr>
          <w:rFonts w:eastAsia="方正仿宋简体"/>
          <w:color w:val="000000"/>
          <w:sz w:val="30"/>
          <w:szCs w:val="30"/>
        </w:rPr>
        <w:t>持仓应当调整为12手的整倍数（遇市场特殊情况无法按期调整的，可以顺延一天）；进入交割月后，不锈钢期货合约一般持仓应当是12手的整倍数，新开仓、平仓也应当是12手的整倍数。</w:t>
      </w:r>
    </w:p>
    <w:p>
      <w:pPr>
        <w:spacing w:line="560" w:lineRule="exact"/>
        <w:ind w:firstLine="602" w:firstLineChars="200"/>
        <w:rPr>
          <w:rFonts w:eastAsia="方正仿宋简体"/>
          <w:color w:val="000000"/>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交易所对某一不锈钢期货合约采取强制减仓的，其申报平仓数量、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color w:val="000000"/>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该不锈钢期货合约的单位净持仓亏损大于或者等于强制减仓基准日结算价6%的所有申报平仓数量的总和为平仓数量。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第五十</w:t>
      </w:r>
      <w:r>
        <w:rPr>
          <w:rFonts w:hint="eastAsia" w:eastAsia="方正仿宋简体"/>
          <w:b/>
          <w:sz w:val="30"/>
          <w:szCs w:val="30"/>
        </w:rPr>
        <w:t>四</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上海期货交易所黄金期货业务细则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color w:val="000000"/>
          <w:sz w:val="28"/>
          <w:szCs w:val="21"/>
        </w:rPr>
      </w:pPr>
    </w:p>
    <w:p>
      <w:pPr>
        <w:spacing w:line="540" w:lineRule="exact"/>
        <w:jc w:val="center"/>
        <w:rPr>
          <w:rFonts w:eastAsia="方正黑体简体"/>
          <w:sz w:val="30"/>
          <w:szCs w:val="30"/>
        </w:rPr>
      </w:pPr>
      <w:r>
        <w:rPr>
          <w:rFonts w:eastAsia="方正黑体简体"/>
          <w:sz w:val="30"/>
          <w:szCs w:val="30"/>
        </w:rPr>
        <w:t>第一章 总则</w:t>
      </w:r>
    </w:p>
    <w:p>
      <w:pPr>
        <w:spacing w:line="54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为了规范上海期货交易所（以下简称交易所）黄金期货相关业务，根据《上海期货交易所交易规则》《上海期货交易所黄金期货合约》以及相关业务规则，制定本细则。</w:t>
      </w:r>
    </w:p>
    <w:p>
      <w:pPr>
        <w:spacing w:line="54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40" w:lineRule="exact"/>
        <w:jc w:val="center"/>
        <w:rPr>
          <w:rFonts w:eastAsia="黑体"/>
          <w:sz w:val="30"/>
          <w:szCs w:val="30"/>
        </w:rPr>
      </w:pPr>
      <w:r>
        <w:rPr>
          <w:rFonts w:eastAsia="黑体"/>
          <w:sz w:val="30"/>
          <w:szCs w:val="30"/>
        </w:rPr>
        <w:t>第二章 交易业务</w:t>
      </w:r>
    </w:p>
    <w:p>
      <w:pPr>
        <w:spacing w:line="54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黄金期货合约的交易单位为1000克/手。</w:t>
      </w:r>
    </w:p>
    <w:p>
      <w:pPr>
        <w:spacing w:line="54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黄金期货合约的报价单位为元（人民币）/克。</w:t>
      </w:r>
    </w:p>
    <w:p>
      <w:pPr>
        <w:spacing w:line="54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黄金期货合约的最小变动价位为0.02元/克。</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第六条</w:t>
      </w:r>
      <w:r>
        <w:rPr>
          <w:rFonts w:eastAsia="方正仿宋简体"/>
          <w:sz w:val="30"/>
          <w:szCs w:val="30"/>
        </w:rPr>
        <w:t xml:space="preserve"> 黄金期货合约月份为最近三个连续月份的合约以及最近13个月以内的双月合约。</w:t>
      </w:r>
    </w:p>
    <w:p>
      <w:pPr>
        <w:spacing w:line="54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黄金期货合约的交易时间为上午9:00～11:30，下午1:30～3:00和交易所规定的其他交易时间。</w:t>
      </w:r>
    </w:p>
    <w:p>
      <w:pPr>
        <w:spacing w:line="54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黄金期货合约的最后交易日为合约月份的15日，遇国家法定节假日顺延，春节月份等最后交易日交易所可另行调整并通知。</w:t>
      </w:r>
    </w:p>
    <w:p>
      <w:pPr>
        <w:spacing w:line="54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黄金期货合约的交易代码为AU。</w:t>
      </w:r>
    </w:p>
    <w:p>
      <w:pPr>
        <w:spacing w:line="540" w:lineRule="exact"/>
        <w:ind w:firstLine="602" w:firstLineChars="200"/>
        <w:rPr>
          <w:rFonts w:eastAsia="方正仿宋简体"/>
          <w:b/>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黄金期货套期保值交易持仓额度和套利交易持仓额度，所涉的一般月份是指合约挂牌至交割月前第二月的最后一个交易日，所涉的临近交割月份是指交割月前第一月和交割月份。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黄金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黄金期货临近交割月份套期保值交易持仓额度的申请应当在该套期保值所涉合约交割月前第二月的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w:t>
      </w:r>
      <w:r>
        <w:rPr>
          <w:rFonts w:hint="eastAsia" w:eastAsia="方正仿宋简体"/>
          <w:sz w:val="30"/>
          <w:szCs w:val="30"/>
        </w:rPr>
        <w:t>黄金</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4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黄金</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40" w:lineRule="exact"/>
        <w:jc w:val="center"/>
        <w:rPr>
          <w:rFonts w:eastAsia="黑体"/>
          <w:sz w:val="30"/>
          <w:szCs w:val="30"/>
        </w:rPr>
      </w:pPr>
      <w:r>
        <w:rPr>
          <w:rFonts w:eastAsia="黑体"/>
          <w:sz w:val="30"/>
          <w:szCs w:val="30"/>
        </w:rPr>
        <w:t>第三章 交割业务</w:t>
      </w:r>
    </w:p>
    <w:p>
      <w:pPr>
        <w:spacing w:line="540" w:lineRule="exact"/>
        <w:jc w:val="center"/>
        <w:rPr>
          <w:rFonts w:eastAsia="方正仿宋简体"/>
          <w:b/>
          <w:sz w:val="30"/>
          <w:szCs w:val="30"/>
        </w:rPr>
      </w:pPr>
      <w:r>
        <w:rPr>
          <w:rFonts w:eastAsia="方正仿宋简体"/>
          <w:b/>
          <w:sz w:val="30"/>
          <w:szCs w:val="30"/>
        </w:rPr>
        <w:t>第一节 一般规定</w:t>
      </w:r>
    </w:p>
    <w:p>
      <w:pPr>
        <w:spacing w:line="540" w:lineRule="exact"/>
        <w:ind w:firstLine="602" w:firstLineChars="200"/>
        <w:jc w:val="left"/>
        <w:rPr>
          <w:rFonts w:eastAsia="方正仿宋简体"/>
          <w:sz w:val="30"/>
          <w:szCs w:val="30"/>
        </w:rPr>
      </w:pPr>
      <w:r>
        <w:rPr>
          <w:rFonts w:eastAsia="方正仿宋简体"/>
          <w:b/>
          <w:sz w:val="30"/>
          <w:szCs w:val="30"/>
        </w:rPr>
        <w:t xml:space="preserve">第十三条 </w:t>
      </w:r>
      <w:r>
        <w:rPr>
          <w:rFonts w:eastAsia="方正仿宋简体"/>
          <w:sz w:val="30"/>
          <w:szCs w:val="30"/>
        </w:rPr>
        <w:t>黄金期货适用期货转现货、仓库交割。</w:t>
      </w:r>
    </w:p>
    <w:p>
      <w:pPr>
        <w:spacing w:line="540" w:lineRule="exact"/>
        <w:ind w:firstLine="600" w:firstLineChars="200"/>
        <w:jc w:val="left"/>
        <w:rPr>
          <w:rFonts w:eastAsia="方正仿宋简体"/>
          <w:sz w:val="30"/>
          <w:szCs w:val="30"/>
        </w:rPr>
      </w:pPr>
      <w:r>
        <w:rPr>
          <w:rFonts w:eastAsia="方正仿宋简体"/>
          <w:sz w:val="30"/>
          <w:szCs w:val="30"/>
        </w:rPr>
        <w:t>黄金期货实行完税交割。</w:t>
      </w:r>
    </w:p>
    <w:p>
      <w:pPr>
        <w:spacing w:line="54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交割品级</w:t>
      </w:r>
    </w:p>
    <w:p>
      <w:pPr>
        <w:spacing w:line="540" w:lineRule="exact"/>
        <w:ind w:firstLine="600" w:firstLineChars="200"/>
        <w:jc w:val="left"/>
        <w:rPr>
          <w:rFonts w:eastAsia="方正仿宋简体"/>
          <w:sz w:val="30"/>
          <w:szCs w:val="30"/>
        </w:rPr>
      </w:pPr>
      <w:r>
        <w:rPr>
          <w:rFonts w:eastAsia="方正仿宋简体"/>
          <w:sz w:val="30"/>
          <w:szCs w:val="30"/>
        </w:rPr>
        <w:t>金含量不小于99.95%的国产金锭及经交易所认可的伦敦金银市场协会（LBMA）认定的合格供货商或精炼厂生产的标准金锭。</w:t>
      </w:r>
    </w:p>
    <w:p>
      <w:pPr>
        <w:spacing w:line="54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交割商品</w:t>
      </w:r>
    </w:p>
    <w:p>
      <w:pPr>
        <w:spacing w:line="540" w:lineRule="exact"/>
        <w:ind w:firstLine="600" w:firstLineChars="200"/>
        <w:jc w:val="left"/>
        <w:rPr>
          <w:rFonts w:eastAsia="方正仿宋简体"/>
          <w:sz w:val="30"/>
          <w:szCs w:val="30"/>
        </w:rPr>
      </w:pPr>
      <w:r>
        <w:rPr>
          <w:rFonts w:eastAsia="方正仿宋简体"/>
          <w:sz w:val="30"/>
          <w:szCs w:val="30"/>
        </w:rPr>
        <w:t>（一）国产金锭：应当是经交易所注册的品牌金锭</w:t>
      </w:r>
      <w:r>
        <w:rPr>
          <w:rFonts w:hint="eastAsia" w:eastAsia="方正仿宋简体"/>
          <w:sz w:val="30"/>
          <w:szCs w:val="30"/>
        </w:rPr>
        <w:t>。</w:t>
      </w:r>
    </w:p>
    <w:p>
      <w:pPr>
        <w:spacing w:line="540" w:lineRule="exact"/>
        <w:ind w:firstLine="600" w:firstLineChars="200"/>
        <w:jc w:val="left"/>
        <w:rPr>
          <w:rFonts w:eastAsia="方正仿宋简体"/>
          <w:sz w:val="30"/>
          <w:szCs w:val="30"/>
        </w:rPr>
      </w:pPr>
      <w:r>
        <w:rPr>
          <w:rFonts w:eastAsia="方正仿宋简体"/>
          <w:sz w:val="30"/>
          <w:szCs w:val="30"/>
        </w:rPr>
        <w:t>（二）进口金锭：应当是经交易所认可的伦敦金银市场协会（LBMA）认定的合格金锭供货商或精炼厂生产的标准金锭</w:t>
      </w:r>
      <w:r>
        <w:rPr>
          <w:rFonts w:hint="eastAsia" w:eastAsia="方正仿宋简体"/>
          <w:sz w:val="30"/>
          <w:szCs w:val="30"/>
        </w:rPr>
        <w:t>。</w:t>
      </w:r>
    </w:p>
    <w:p>
      <w:pPr>
        <w:spacing w:line="540" w:lineRule="exact"/>
        <w:ind w:firstLine="602" w:firstLineChars="200"/>
        <w:jc w:val="left"/>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交割商品的规格</w:t>
      </w:r>
    </w:p>
    <w:p>
      <w:pPr>
        <w:spacing w:line="540" w:lineRule="exact"/>
        <w:ind w:firstLine="600" w:firstLineChars="200"/>
        <w:jc w:val="left"/>
        <w:rPr>
          <w:rFonts w:eastAsia="方正仿宋简体"/>
          <w:sz w:val="30"/>
          <w:szCs w:val="30"/>
        </w:rPr>
      </w:pPr>
      <w:r>
        <w:rPr>
          <w:rFonts w:eastAsia="方正仿宋简体"/>
          <w:sz w:val="30"/>
          <w:szCs w:val="30"/>
        </w:rPr>
        <w:t>交割的金锭为1000克规格的金锭（金含量不小于99.99%）或3000克规格的金锭（金含量不小于99.95%）</w:t>
      </w:r>
      <w:r>
        <w:rPr>
          <w:rFonts w:hint="eastAsia" w:eastAsia="方正仿宋简体"/>
          <w:sz w:val="30"/>
          <w:szCs w:val="30"/>
        </w:rPr>
        <w:t>。</w:t>
      </w:r>
    </w:p>
    <w:p>
      <w:pPr>
        <w:spacing w:line="540" w:lineRule="exact"/>
        <w:ind w:firstLine="600" w:firstLineChars="200"/>
        <w:jc w:val="left"/>
        <w:rPr>
          <w:rFonts w:eastAsia="方正仿宋简体"/>
          <w:sz w:val="30"/>
          <w:szCs w:val="30"/>
        </w:rPr>
      </w:pPr>
      <w:r>
        <w:rPr>
          <w:rFonts w:eastAsia="方正仿宋简体"/>
          <w:sz w:val="30"/>
          <w:szCs w:val="30"/>
        </w:rPr>
        <w:t>每一张标准仓单的金锭，应当是同一生产企业生产、同一牌号、同一注册商标、同一质量品级、同一块形的金锭组成</w:t>
      </w:r>
      <w:r>
        <w:rPr>
          <w:rFonts w:hint="eastAsia" w:eastAsia="方正仿宋简体"/>
          <w:sz w:val="30"/>
          <w:szCs w:val="30"/>
        </w:rPr>
        <w:t>。</w:t>
      </w:r>
    </w:p>
    <w:p>
      <w:pPr>
        <w:spacing w:line="540" w:lineRule="exact"/>
        <w:ind w:firstLine="602" w:firstLineChars="200"/>
        <w:jc w:val="left"/>
        <w:rPr>
          <w:rFonts w:eastAsia="方正仿宋简体"/>
          <w:sz w:val="30"/>
          <w:szCs w:val="30"/>
        </w:rPr>
      </w:pPr>
      <w:r>
        <w:rPr>
          <w:rFonts w:eastAsia="方正仿宋简体"/>
          <w:b/>
          <w:sz w:val="30"/>
          <w:szCs w:val="30"/>
        </w:rPr>
        <w:t>第十七条</w:t>
      </w:r>
      <w:r>
        <w:rPr>
          <w:rFonts w:eastAsia="方正仿宋简体"/>
          <w:sz w:val="30"/>
          <w:szCs w:val="30"/>
        </w:rPr>
        <w:t xml:space="preserve"> 交割商品的包装</w:t>
      </w:r>
    </w:p>
    <w:p>
      <w:pPr>
        <w:spacing w:line="540" w:lineRule="exact"/>
        <w:ind w:firstLine="600" w:firstLineChars="200"/>
        <w:jc w:val="left"/>
        <w:rPr>
          <w:rFonts w:eastAsia="方正仿宋简体"/>
          <w:sz w:val="30"/>
          <w:szCs w:val="30"/>
        </w:rPr>
      </w:pPr>
      <w:r>
        <w:rPr>
          <w:rFonts w:eastAsia="方正仿宋简体"/>
          <w:sz w:val="30"/>
          <w:szCs w:val="30"/>
        </w:rPr>
        <w:t>每块金锭用干净纸或塑料膜包好，采用木箱或塑料箱包装。运输和储存时，不得损坏、污染产品。</w:t>
      </w:r>
    </w:p>
    <w:p>
      <w:pPr>
        <w:spacing w:line="540" w:lineRule="exact"/>
        <w:ind w:firstLine="602" w:firstLineChars="200"/>
        <w:jc w:val="left"/>
        <w:rPr>
          <w:rFonts w:eastAsia="方正仿宋简体"/>
          <w:sz w:val="30"/>
          <w:szCs w:val="30"/>
        </w:rPr>
      </w:pPr>
      <w:r>
        <w:rPr>
          <w:rFonts w:eastAsia="方正仿宋简体"/>
          <w:b/>
          <w:sz w:val="30"/>
          <w:szCs w:val="30"/>
        </w:rPr>
        <w:t>第十八条</w:t>
      </w:r>
      <w:r>
        <w:rPr>
          <w:rFonts w:eastAsia="方正仿宋简体"/>
          <w:sz w:val="30"/>
          <w:szCs w:val="30"/>
        </w:rPr>
        <w:t xml:space="preserve"> 每块金锭溢短、磅差标准</w:t>
      </w:r>
    </w:p>
    <w:p>
      <w:pPr>
        <w:spacing w:line="540" w:lineRule="exact"/>
        <w:ind w:firstLine="600" w:firstLineChars="200"/>
        <w:jc w:val="left"/>
        <w:rPr>
          <w:rFonts w:eastAsia="方正仿宋简体"/>
          <w:sz w:val="30"/>
          <w:szCs w:val="30"/>
        </w:rPr>
      </w:pPr>
      <w:r>
        <w:rPr>
          <w:rFonts w:eastAsia="方正仿宋简体"/>
          <w:sz w:val="30"/>
          <w:szCs w:val="30"/>
        </w:rPr>
        <w:t>3000克金锭，每块金锭重量（纯重）溢短不超过±50克。1000克金锭，每块金锭重量（毛重）不得小于1000克，超过1000克的按1000克计</w:t>
      </w:r>
      <w:r>
        <w:rPr>
          <w:rFonts w:hint="eastAsia" w:eastAsia="方正仿宋简体"/>
          <w:sz w:val="30"/>
          <w:szCs w:val="30"/>
        </w:rPr>
        <w:t>。</w:t>
      </w:r>
    </w:p>
    <w:p>
      <w:pPr>
        <w:spacing w:line="540" w:lineRule="exact"/>
        <w:ind w:firstLine="600" w:firstLineChars="200"/>
        <w:jc w:val="left"/>
        <w:rPr>
          <w:rFonts w:eastAsia="方正仿宋简体"/>
          <w:b/>
          <w:sz w:val="30"/>
          <w:szCs w:val="30"/>
          <w:shd w:val="pct10" w:color="auto" w:fill="FFFFFF"/>
        </w:rPr>
      </w:pPr>
      <w:r>
        <w:rPr>
          <w:rFonts w:eastAsia="方正仿宋简体"/>
          <w:sz w:val="30"/>
          <w:szCs w:val="30"/>
        </w:rPr>
        <w:t>每块金锭磅差不超过±0.1克。</w:t>
      </w:r>
    </w:p>
    <w:p>
      <w:pPr>
        <w:spacing w:line="54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调运费</w:t>
      </w:r>
    </w:p>
    <w:p>
      <w:pPr>
        <w:spacing w:line="540" w:lineRule="exact"/>
        <w:ind w:firstLine="600" w:firstLineChars="200"/>
        <w:rPr>
          <w:rFonts w:eastAsia="方正仿宋简体"/>
          <w:sz w:val="30"/>
          <w:szCs w:val="30"/>
        </w:rPr>
      </w:pPr>
      <w:r>
        <w:rPr>
          <w:rFonts w:eastAsia="方正仿宋简体"/>
          <w:sz w:val="30"/>
          <w:szCs w:val="30"/>
        </w:rPr>
        <w:t>交易所为满足货主择地交金、提金的需要，负责各黄金交割仓库之间的金锭调运工作。在标准仓单生效日和发货通知日，由交易所通过会员向货主收取调运费。调运费标准另行公布。</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第二十条</w:t>
      </w:r>
      <w:r>
        <w:rPr>
          <w:rFonts w:eastAsia="方正仿宋简体"/>
          <w:sz w:val="30"/>
          <w:szCs w:val="30"/>
        </w:rPr>
        <w:t xml:space="preserve"> 金锭的仓储费由交易所定期代收代付。</w:t>
      </w:r>
    </w:p>
    <w:p>
      <w:pPr>
        <w:spacing w:line="54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交割单位</w:t>
      </w:r>
    </w:p>
    <w:p>
      <w:pPr>
        <w:spacing w:line="540" w:lineRule="exact"/>
        <w:ind w:firstLine="600" w:firstLineChars="200"/>
        <w:jc w:val="left"/>
        <w:rPr>
          <w:rFonts w:eastAsia="方正仿宋简体"/>
          <w:b/>
          <w:sz w:val="30"/>
          <w:szCs w:val="30"/>
          <w:shd w:val="pct10" w:color="auto" w:fill="FFFFFF"/>
        </w:rPr>
      </w:pPr>
      <w:r>
        <w:rPr>
          <w:rFonts w:eastAsia="方正仿宋简体"/>
          <w:sz w:val="30"/>
          <w:szCs w:val="30"/>
        </w:rPr>
        <w:t>黄金期货合约的交割单位为每一标准仓单标准重量（纯重）3000克。</w:t>
      </w:r>
    </w:p>
    <w:p>
      <w:pPr>
        <w:spacing w:line="540" w:lineRule="exact"/>
        <w:ind w:firstLine="602" w:firstLineChars="200"/>
        <w:jc w:val="left"/>
        <w:rPr>
          <w:rFonts w:eastAsia="方正仿宋简体"/>
          <w:sz w:val="30"/>
          <w:szCs w:val="30"/>
        </w:rPr>
      </w:pPr>
      <w:r>
        <w:rPr>
          <w:rFonts w:eastAsia="方正仿宋简体"/>
          <w:b/>
          <w:sz w:val="30"/>
          <w:szCs w:val="30"/>
        </w:rPr>
        <w:t>第二十二条</w:t>
      </w:r>
      <w:r>
        <w:rPr>
          <w:rFonts w:eastAsia="方正仿宋简体"/>
          <w:sz w:val="30"/>
          <w:szCs w:val="30"/>
        </w:rPr>
        <w:t xml:space="preserve"> 交割地点：交易所黄金交割仓库，由交易所另行公告。</w:t>
      </w:r>
    </w:p>
    <w:p>
      <w:pPr>
        <w:spacing w:line="540" w:lineRule="exact"/>
        <w:ind w:left="596" w:leftChars="284"/>
        <w:jc w:val="left"/>
        <w:rPr>
          <w:rFonts w:eastAsia="方正仿宋简体"/>
          <w:b/>
          <w:sz w:val="30"/>
          <w:szCs w:val="30"/>
          <w:shd w:val="pct10" w:color="auto" w:fill="FFFFFF"/>
        </w:rPr>
      </w:pPr>
      <w:r>
        <w:rPr>
          <w:rFonts w:eastAsia="方正仿宋简体"/>
          <w:b/>
          <w:sz w:val="30"/>
          <w:szCs w:val="30"/>
        </w:rPr>
        <w:t xml:space="preserve">第二十三条 </w:t>
      </w:r>
      <w:r>
        <w:rPr>
          <w:rFonts w:eastAsia="方正仿宋简体"/>
          <w:sz w:val="30"/>
          <w:szCs w:val="30"/>
        </w:rPr>
        <w:t>自然人客户不得进行黄金实物交割。</w:t>
      </w:r>
    </w:p>
    <w:p>
      <w:pPr>
        <w:spacing w:line="54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实物交割应当在合约规定的交割期内完成。交割期为该合约最后交易日后第一个工作日。该工作日称为交割日。</w:t>
      </w:r>
    </w:p>
    <w:p>
      <w:pPr>
        <w:spacing w:line="54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交割程序</w:t>
      </w:r>
    </w:p>
    <w:p>
      <w:pPr>
        <w:spacing w:line="540" w:lineRule="exact"/>
        <w:ind w:firstLine="600" w:firstLineChars="200"/>
        <w:rPr>
          <w:rFonts w:eastAsia="方正仿宋简体"/>
          <w:sz w:val="30"/>
          <w:szCs w:val="30"/>
        </w:rPr>
      </w:pPr>
      <w:r>
        <w:rPr>
          <w:rFonts w:eastAsia="方正仿宋简体"/>
          <w:sz w:val="30"/>
          <w:szCs w:val="30"/>
        </w:rPr>
        <w:t>（一）卖方交标准仓单。卖方在交割日12:00之前，将已经付清仓储费用的有效标准仓单交交易所。仓储费用由卖方支付到交割日（含当日），以后的仓储费用由买方支付</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（二）交易所分配标准仓单</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（三）买方交款、取单。交易所于交割日结算时以内转方式划转买方交割货款并清退其相应的保证金，买方于当日结算后取得黄金标准仓单。</w:t>
      </w:r>
    </w:p>
    <w:p>
      <w:pPr>
        <w:spacing w:line="540" w:lineRule="exact"/>
        <w:ind w:firstLine="600" w:firstLineChars="200"/>
        <w:rPr>
          <w:rFonts w:eastAsia="方正仿宋简体"/>
          <w:sz w:val="30"/>
          <w:szCs w:val="30"/>
        </w:rPr>
      </w:pPr>
      <w:r>
        <w:rPr>
          <w:rFonts w:eastAsia="方正仿宋简体"/>
          <w:sz w:val="30"/>
          <w:szCs w:val="30"/>
        </w:rPr>
        <w:t>（四）卖方收款。交易所于交割日结算时以内转方式划转卖方交割货款。</w:t>
      </w:r>
    </w:p>
    <w:p>
      <w:pPr>
        <w:spacing w:line="540" w:lineRule="exact"/>
        <w:jc w:val="center"/>
        <w:rPr>
          <w:rFonts w:eastAsia="方正仿宋简体"/>
          <w:b/>
          <w:sz w:val="30"/>
          <w:szCs w:val="30"/>
        </w:rPr>
      </w:pPr>
      <w:r>
        <w:rPr>
          <w:rFonts w:eastAsia="方正仿宋简体"/>
          <w:b/>
          <w:sz w:val="30"/>
          <w:szCs w:val="30"/>
        </w:rPr>
        <w:t>第二节 交割仓库的入库与出库</w:t>
      </w:r>
    </w:p>
    <w:p>
      <w:pPr>
        <w:spacing w:line="54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入库申报（交割预报）</w:t>
      </w:r>
    </w:p>
    <w:p>
      <w:pPr>
        <w:spacing w:line="540" w:lineRule="exact"/>
        <w:ind w:firstLine="600" w:firstLineChars="200"/>
        <w:rPr>
          <w:rFonts w:eastAsia="方正仿宋简体"/>
          <w:sz w:val="30"/>
          <w:szCs w:val="30"/>
        </w:rPr>
      </w:pPr>
      <w:r>
        <w:rPr>
          <w:rFonts w:eastAsia="方正仿宋简体"/>
          <w:sz w:val="30"/>
          <w:szCs w:val="30"/>
        </w:rPr>
        <w:t>货主向黄金交割仓库发货前，应当向交易所办理入库申报（交割预报），内容包括品种、商标、品级、数量及拟交货地等。客户的申报应当通过其委托的会员办理。</w:t>
      </w:r>
    </w:p>
    <w:p>
      <w:pPr>
        <w:spacing w:line="54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入库申报审批</w:t>
      </w:r>
    </w:p>
    <w:p>
      <w:pPr>
        <w:spacing w:line="540" w:lineRule="exact"/>
        <w:ind w:firstLine="600" w:firstLineChars="200"/>
        <w:rPr>
          <w:rFonts w:eastAsia="方正仿宋简体"/>
          <w:sz w:val="30"/>
          <w:szCs w:val="30"/>
        </w:rPr>
      </w:pPr>
      <w:r>
        <w:rPr>
          <w:rFonts w:eastAsia="方正仿宋简体"/>
          <w:sz w:val="30"/>
          <w:szCs w:val="30"/>
        </w:rPr>
        <w:t>交易所在库容允许情况下，考虑货主意愿，在3个工作日内指定货主交金黄金交割仓库。货主应在交易所规定的有效期内向已批准的入库申报中确定的黄金交割仓库发货。未经过交易所批准入库或未在规定的有效期内入库的金锭不能用于交割</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入库检验</w:t>
      </w:r>
    </w:p>
    <w:p>
      <w:pPr>
        <w:spacing w:line="540" w:lineRule="exact"/>
        <w:ind w:firstLine="600" w:firstLineChars="200"/>
        <w:rPr>
          <w:rFonts w:eastAsia="方正仿宋简体"/>
          <w:sz w:val="30"/>
          <w:szCs w:val="30"/>
        </w:rPr>
      </w:pPr>
      <w:r>
        <w:rPr>
          <w:rFonts w:eastAsia="方正仿宋简体"/>
          <w:sz w:val="30"/>
          <w:szCs w:val="30"/>
        </w:rPr>
        <w:t>（一）国产金锭运抵黄金交割仓库时，应当由交易所注册黄金品牌企业已备案的指定存货人员办理入库手续</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（二）进口金锭运抵黄金交割仓库时，应当由相应的进口银行已备案的指定存货人员办理入库手续</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（三）同一库内现货金锭转做标准仓单，应当提供由该批金锭相应生产厂方或进口银行直接办理入库手续的有效证明及其他相关证明</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（四）黄金交割仓库应对到库金锭及相关单证进行检验审核。检验分为质量检验和数（重）量检验两部分</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国产金锭：</w:t>
      </w:r>
    </w:p>
    <w:p>
      <w:pPr>
        <w:spacing w:line="540" w:lineRule="exact"/>
        <w:ind w:firstLine="600" w:firstLineChars="200"/>
        <w:rPr>
          <w:rFonts w:eastAsia="方正仿宋简体"/>
          <w:sz w:val="30"/>
          <w:szCs w:val="30"/>
        </w:rPr>
      </w:pPr>
      <w:r>
        <w:rPr>
          <w:rFonts w:eastAsia="方正仿宋简体"/>
          <w:sz w:val="30"/>
          <w:szCs w:val="30"/>
        </w:rPr>
        <w:t>（1）入库金锭的质量检验以生产企业的质量证明书为准</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 xml:space="preserve">（2）入库金锭的数（重）量检验 </w:t>
      </w:r>
    </w:p>
    <w:p>
      <w:pPr>
        <w:spacing w:line="540" w:lineRule="exact"/>
        <w:ind w:firstLine="600" w:firstLineChars="200"/>
        <w:rPr>
          <w:rFonts w:eastAsia="方正仿宋简体"/>
          <w:sz w:val="30"/>
          <w:szCs w:val="30"/>
        </w:rPr>
      </w:pPr>
      <w:r>
        <w:rPr>
          <w:rFonts w:eastAsia="方正仿宋简体"/>
          <w:sz w:val="30"/>
          <w:szCs w:val="30"/>
        </w:rPr>
        <w:t>黄金交割仓库核对生产企业的质量证明书和装箱单，对入库金锭进行点数，并对金锭逐一复磅。在规定的磅差范围内，3000克的金锭以生产企业的质量证明书和装箱单标识毛重为准；1000克的金锭毛重不得小于1000克，超过1000克的按1000克计</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进口金锭：</w:t>
      </w:r>
    </w:p>
    <w:p>
      <w:pPr>
        <w:spacing w:line="540" w:lineRule="exact"/>
        <w:ind w:firstLine="600" w:firstLineChars="200"/>
        <w:rPr>
          <w:rFonts w:eastAsia="方正仿宋简体"/>
          <w:sz w:val="30"/>
          <w:szCs w:val="30"/>
        </w:rPr>
      </w:pPr>
      <w:r>
        <w:rPr>
          <w:rFonts w:eastAsia="方正仿宋简体"/>
          <w:sz w:val="30"/>
          <w:szCs w:val="30"/>
        </w:rPr>
        <w:t>（1）入库金锭的质量检验以金锭标识和相应质量证明为准</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 xml:space="preserve">（2）入库金锭的数（重）量检验 </w:t>
      </w:r>
    </w:p>
    <w:p>
      <w:pPr>
        <w:spacing w:line="540" w:lineRule="exact"/>
        <w:ind w:firstLine="600" w:firstLineChars="200"/>
        <w:rPr>
          <w:rFonts w:eastAsia="方正仿宋简体"/>
          <w:sz w:val="30"/>
          <w:szCs w:val="30"/>
        </w:rPr>
      </w:pPr>
      <w:r>
        <w:rPr>
          <w:rFonts w:eastAsia="方正仿宋简体"/>
          <w:sz w:val="30"/>
          <w:szCs w:val="30"/>
        </w:rPr>
        <w:t>黄金交割仓库对入库金锭进行点数并逐一复磅。3000克的金锭毛重以黄金交割仓库的复磅为准；1000克的金锭毛重不得低于1000克，超过1000克的按1000克计</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货主监收</w:t>
      </w:r>
    </w:p>
    <w:p>
      <w:pPr>
        <w:spacing w:line="540" w:lineRule="exact"/>
        <w:ind w:firstLine="600" w:firstLineChars="200"/>
        <w:rPr>
          <w:rFonts w:eastAsia="方正仿宋简体"/>
          <w:sz w:val="30"/>
          <w:szCs w:val="30"/>
        </w:rPr>
      </w:pPr>
      <w:r>
        <w:rPr>
          <w:rFonts w:eastAsia="方正仿宋简体"/>
          <w:sz w:val="30"/>
          <w:szCs w:val="30"/>
        </w:rPr>
        <w:t>入库时，货主应到黄金交割仓库监收；货主不到库监收的，视为货主同意黄金交割仓库的检验结果。</w:t>
      </w:r>
    </w:p>
    <w:p>
      <w:pPr>
        <w:spacing w:line="540" w:lineRule="exact"/>
        <w:ind w:firstLine="602" w:firstLineChars="200"/>
        <w:rPr>
          <w:rFonts w:eastAsia="方正仿宋简体"/>
          <w:sz w:val="30"/>
          <w:szCs w:val="30"/>
        </w:rPr>
      </w:pPr>
      <w:r>
        <w:rPr>
          <w:rFonts w:eastAsia="方正仿宋简体"/>
          <w:b/>
          <w:sz w:val="30"/>
          <w:szCs w:val="30"/>
        </w:rPr>
        <w:t>第三十条</w:t>
      </w:r>
      <w:r>
        <w:rPr>
          <w:rFonts w:eastAsia="方正仿宋简体"/>
          <w:sz w:val="30"/>
          <w:szCs w:val="30"/>
        </w:rPr>
        <w:t xml:space="preserve"> 签发标准仓单</w:t>
      </w:r>
    </w:p>
    <w:p>
      <w:pPr>
        <w:spacing w:line="540" w:lineRule="exact"/>
        <w:ind w:firstLine="600" w:firstLineChars="200"/>
        <w:rPr>
          <w:rFonts w:eastAsia="方正仿宋简体"/>
          <w:sz w:val="30"/>
          <w:szCs w:val="30"/>
        </w:rPr>
      </w:pPr>
      <w:r>
        <w:rPr>
          <w:rFonts w:eastAsia="方正仿宋简体"/>
          <w:sz w:val="30"/>
          <w:szCs w:val="30"/>
        </w:rPr>
        <w:t>金锭入库完毕验收合格后，黄金交割仓库签发标准仓单，货主通过标准仓单管理系统予以确认，货主确认后标准仓单生效，货主确认当天为标准仓单生效日。标准仓单生效日或者标准仓单生效日后第一个交易日，交易所对溢短进行结算。</w:t>
      </w:r>
    </w:p>
    <w:p>
      <w:pPr>
        <w:spacing w:line="54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出库</w:t>
      </w:r>
    </w:p>
    <w:p>
      <w:pPr>
        <w:spacing w:line="540" w:lineRule="exact"/>
        <w:ind w:firstLine="600" w:firstLineChars="200"/>
        <w:rPr>
          <w:rFonts w:eastAsia="方正仿宋简体"/>
          <w:sz w:val="30"/>
          <w:szCs w:val="30"/>
        </w:rPr>
      </w:pPr>
      <w:r>
        <w:rPr>
          <w:rFonts w:eastAsia="方正仿宋简体"/>
          <w:sz w:val="30"/>
          <w:szCs w:val="30"/>
        </w:rPr>
        <w:t>（一）货主提货时，应通过标准仓单管理系统提交出库申请，并选择提货地，交易所在货主选择的提货地内统筹安排提货黄金交割仓库，并在货主提交提货申请后的5个工作日内确定其中1个工作日为发货日，货主应当自发货日起2个工作日之内到库提金。在发货前，交易所通过标准仓单管理系统将发货信息通知货主，该工作日为发货通知日（可与发货日同一天）。</w:t>
      </w:r>
    </w:p>
    <w:p>
      <w:pPr>
        <w:spacing w:line="540" w:lineRule="exact"/>
        <w:ind w:firstLine="600" w:firstLineChars="200"/>
        <w:rPr>
          <w:rFonts w:eastAsia="方正仿宋简体"/>
          <w:sz w:val="30"/>
          <w:szCs w:val="30"/>
        </w:rPr>
      </w:pPr>
      <w:r>
        <w:rPr>
          <w:rFonts w:eastAsia="方正仿宋简体"/>
          <w:sz w:val="30"/>
          <w:szCs w:val="30"/>
        </w:rPr>
        <w:t>（二）交易所根据已选定的出库金锭，在发货通知日对出库金锭进行溢短结算</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（三）货主提货时，应在标准仓单管理系统输入提货密码，并提供有效身份证件，黄金交割仓库在对提货者身份审核无误后予以发货</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（四）填制标准仓单出库确认单</w:t>
      </w:r>
    </w:p>
    <w:p>
      <w:pPr>
        <w:spacing w:line="540" w:lineRule="exact"/>
        <w:ind w:firstLine="600" w:firstLineChars="200"/>
        <w:rPr>
          <w:rFonts w:eastAsia="方正仿宋简体"/>
          <w:sz w:val="30"/>
          <w:szCs w:val="30"/>
        </w:rPr>
      </w:pPr>
      <w:r>
        <w:rPr>
          <w:rFonts w:eastAsia="方正仿宋简体"/>
          <w:sz w:val="30"/>
          <w:szCs w:val="30"/>
        </w:rPr>
        <w:t>黄金交割仓库发货时，应打印《标准仓单出库确认单》（一式二份，货主和黄金交割仓库各执一份），并妥善保管备查</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（五）货主提交提货申请后，如逾期不到库提货，标准仓单将被注销，对应金锭转成现货。转成现货金锭的有关费用由货主和黄金交割仓库自行协商结算。</w:t>
      </w:r>
    </w:p>
    <w:p>
      <w:pPr>
        <w:spacing w:line="54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受理质量数（重）量争议</w:t>
      </w:r>
    </w:p>
    <w:p>
      <w:pPr>
        <w:spacing w:line="540" w:lineRule="exact"/>
        <w:ind w:firstLine="600" w:firstLineChars="200"/>
        <w:rPr>
          <w:rFonts w:eastAsia="方正仿宋简体"/>
          <w:sz w:val="30"/>
          <w:szCs w:val="30"/>
        </w:rPr>
      </w:pPr>
      <w:r>
        <w:rPr>
          <w:rFonts w:eastAsia="方正仿宋简体"/>
          <w:sz w:val="30"/>
          <w:szCs w:val="30"/>
        </w:rPr>
        <w:t>若提货方对交割金锭的质量数（重）量有异议的，应当在黄金交割仓库内实物交收时当场提出，并委托交易所指定检验机构对交割金锭进行现场取样和数（重）量检验</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交割金锭的质量和数（重）量以检验机构报告为准。如发现质量或数（重）量问题，提货方应在检验报告出具日后的5个工作日内向交易所提出书面质量数（重）量异议申请，并同时提供交易所指定检验机构出具的有关检验报告。提货方逾期未提出书面异议申请、或未提供交易所指定检验机构出具的有关检验报告，视为提货方对所交割金锭无异议，交易所不再受理对交割金锭质量数（重）量异议的申请</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根据检验结果，若质量数（重）量合格，则相关费用由提货方承担。若数（重）量或质量不合格，则由责任方承担赔偿责任和相关费用。</w:t>
      </w:r>
    </w:p>
    <w:p>
      <w:pPr>
        <w:spacing w:line="540" w:lineRule="exact"/>
        <w:ind w:firstLine="602" w:firstLineChars="200"/>
        <w:jc w:val="center"/>
        <w:rPr>
          <w:rFonts w:eastAsia="方正仿宋简体"/>
          <w:b/>
          <w:sz w:val="30"/>
          <w:szCs w:val="30"/>
        </w:rPr>
      </w:pPr>
      <w:r>
        <w:rPr>
          <w:rFonts w:eastAsia="方正仿宋简体"/>
          <w:b/>
          <w:sz w:val="30"/>
          <w:szCs w:val="30"/>
        </w:rPr>
        <w:t>第三节 交割结算、出入库溢短结算及发票流程</w:t>
      </w:r>
    </w:p>
    <w:p>
      <w:pPr>
        <w:spacing w:line="54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存入或提取金锭时每张标准仓单金锭的纯重与标准仓单标准重量（纯重）的差为溢短。差额为正数的称为正溢短，差额为负数的称为负溢短。金锭入库时标准仓单生效日和出库时的发货通知日为溢短结算基准日。</w:t>
      </w:r>
    </w:p>
    <w:p>
      <w:pPr>
        <w:spacing w:line="540" w:lineRule="exact"/>
        <w:ind w:firstLine="600" w:firstLineChars="200"/>
        <w:rPr>
          <w:rFonts w:eastAsia="方正仿宋简体"/>
          <w:sz w:val="30"/>
          <w:szCs w:val="30"/>
        </w:rPr>
      </w:pPr>
      <w:r>
        <w:rPr>
          <w:rFonts w:eastAsia="方正仿宋简体"/>
          <w:sz w:val="30"/>
          <w:szCs w:val="30"/>
        </w:rPr>
        <w:t>金锭纯重</w:t>
      </w:r>
      <w:r>
        <w:rPr>
          <w:rFonts w:hint="eastAsia" w:eastAsia="方正仿宋简体"/>
          <w:sz w:val="30"/>
          <w:szCs w:val="30"/>
        </w:rPr>
        <w:t>=</w:t>
      </w:r>
      <w:r>
        <w:rPr>
          <w:rFonts w:eastAsia="方正仿宋简体"/>
          <w:sz w:val="30"/>
          <w:szCs w:val="30"/>
        </w:rPr>
        <w:t>金锭毛重×金含量</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溢短</w:t>
      </w:r>
      <w:r>
        <w:rPr>
          <w:rFonts w:hint="eastAsia" w:eastAsia="方正仿宋简体"/>
          <w:sz w:val="30"/>
          <w:szCs w:val="30"/>
        </w:rPr>
        <w:t>=</w:t>
      </w:r>
      <w:r>
        <w:rPr>
          <w:rFonts w:eastAsia="方正仿宋简体"/>
          <w:sz w:val="30"/>
          <w:szCs w:val="30"/>
        </w:rPr>
        <w:t>金锭纯重－标准仓单标准重量（纯重）。</w:t>
      </w:r>
    </w:p>
    <w:p>
      <w:pPr>
        <w:spacing w:line="54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黄金结算专用发票是指经主管税务机关批准印制的，专门用于黄金交割结算与溢短结算的普通发票（分为发票联、结算联和存根联）</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第三十五条</w:t>
      </w:r>
      <w:r>
        <w:rPr>
          <w:rFonts w:eastAsia="方正仿宋简体"/>
          <w:sz w:val="30"/>
          <w:szCs w:val="30"/>
        </w:rPr>
        <w:t xml:space="preserve"> 黄金交割结算与发票流程</w:t>
      </w:r>
    </w:p>
    <w:p>
      <w:pPr>
        <w:spacing w:line="540" w:lineRule="exact"/>
        <w:ind w:firstLine="600" w:firstLineChars="200"/>
        <w:rPr>
          <w:rFonts w:eastAsia="方正仿宋简体"/>
          <w:sz w:val="30"/>
          <w:szCs w:val="30"/>
        </w:rPr>
      </w:pPr>
      <w:r>
        <w:rPr>
          <w:rFonts w:eastAsia="方正仿宋简体"/>
          <w:sz w:val="30"/>
          <w:szCs w:val="30"/>
        </w:rPr>
        <w:t>（一）黄金期货的交割结算：黄金期货的交割结算价为该合约最后5个有成交交易日的</w:t>
      </w:r>
      <w:r>
        <w:rPr>
          <w:rFonts w:hint="eastAsia" w:eastAsia="方正仿宋简体"/>
          <w:sz w:val="30"/>
          <w:szCs w:val="30"/>
        </w:rPr>
        <w:t>结算价的算术平均值</w:t>
      </w:r>
      <w:r>
        <w:rPr>
          <w:rFonts w:eastAsia="方正仿宋简体"/>
          <w:sz w:val="30"/>
          <w:szCs w:val="30"/>
        </w:rPr>
        <w:t>。交割结算时，买卖双方按该合约的交割结算价进行结算</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（二）交割货款结算：买卖双方的交割货款按标准仓单的标准重量（纯重）进行结算。交易所只对会员进行结算，买方客户的货款须通过买方会员转付，卖方客户的货款须通过卖方会员转收</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交割货款的计算公式：</w:t>
      </w:r>
    </w:p>
    <w:p>
      <w:pPr>
        <w:spacing w:line="540" w:lineRule="exact"/>
        <w:ind w:firstLine="600" w:firstLineChars="200"/>
        <w:rPr>
          <w:rFonts w:eastAsia="方正仿宋简体"/>
          <w:sz w:val="30"/>
          <w:szCs w:val="30"/>
        </w:rPr>
      </w:pPr>
      <w:r>
        <w:rPr>
          <w:rFonts w:eastAsia="方正仿宋简体"/>
          <w:sz w:val="30"/>
          <w:szCs w:val="30"/>
        </w:rPr>
        <w:t>交割货款＝标准仓单张数×每张标准仓单标准重量（纯重）×交割结算价</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（三）交割发票：交割时统一开普通发票</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四）交割发票流转：由卖方非期货公司会员或客户开普通发票给交易所，交易所开《黄金结算专用发票》（发票联）给买方非期货公司会员或客户，并向卖方非期货公司会员或客户提供《黄金结算专用发票》（结算联），《黄金结算专用发票》的存根联由交易所留存</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客户与交易所间的发票和单据传递须通过会员单位进行</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卖方应当在最后交易日后五个工作日内提交符合交易所规定的发票。</w:t>
      </w:r>
    </w:p>
    <w:p>
      <w:pPr>
        <w:spacing w:line="540" w:lineRule="exact"/>
        <w:ind w:firstLine="600" w:firstLineChars="200"/>
        <w:rPr>
          <w:rFonts w:eastAsia="方正仿宋简体"/>
          <w:sz w:val="30"/>
          <w:szCs w:val="30"/>
        </w:rPr>
      </w:pPr>
      <w:r>
        <w:rPr>
          <w:rFonts w:eastAsia="方正仿宋简体"/>
          <w:sz w:val="30"/>
          <w:szCs w:val="30"/>
        </w:rPr>
        <w:t>在交割期内，卖方会员按规定办妥标准仓单事宜，交易所当日结算时清退其相应的保证金。卖方最后交易日后第3个工作日闭市后未办妥交割发票事宜的，交易所当日对相应交割</w:t>
      </w:r>
      <w:r>
        <w:rPr>
          <w:rFonts w:hint="eastAsia" w:eastAsia="方正仿宋简体"/>
          <w:sz w:val="30"/>
          <w:szCs w:val="30"/>
        </w:rPr>
        <w:t>持仓</w:t>
      </w:r>
      <w:r>
        <w:rPr>
          <w:rFonts w:eastAsia="方正仿宋简体"/>
          <w:sz w:val="30"/>
          <w:szCs w:val="30"/>
        </w:rPr>
        <w:t>以该合约交割结算价收取不低于15%的保证金，该保证金在卖方会员办妥交割发票事宜后清退。</w:t>
      </w:r>
    </w:p>
    <w:p>
      <w:pPr>
        <w:spacing w:line="540" w:lineRule="exact"/>
        <w:ind w:firstLine="602" w:firstLineChars="200"/>
        <w:rPr>
          <w:rFonts w:eastAsia="方正仿宋简体"/>
          <w:sz w:val="30"/>
          <w:szCs w:val="30"/>
        </w:rPr>
      </w:pPr>
      <w:r>
        <w:rPr>
          <w:rFonts w:eastAsia="方正仿宋简体"/>
          <w:b/>
          <w:sz w:val="30"/>
          <w:szCs w:val="30"/>
        </w:rPr>
        <w:t>第三十六条</w:t>
      </w:r>
      <w:r>
        <w:rPr>
          <w:rFonts w:eastAsia="方正仿宋简体"/>
          <w:sz w:val="30"/>
          <w:szCs w:val="30"/>
        </w:rPr>
        <w:t xml:space="preserve"> 黄金入库溢短结算及发票流程</w:t>
      </w:r>
    </w:p>
    <w:p>
      <w:pPr>
        <w:spacing w:line="540" w:lineRule="exact"/>
        <w:ind w:firstLine="600" w:firstLineChars="200"/>
        <w:rPr>
          <w:rFonts w:eastAsia="方正仿宋简体"/>
          <w:sz w:val="30"/>
          <w:szCs w:val="30"/>
        </w:rPr>
      </w:pPr>
      <w:r>
        <w:rPr>
          <w:rFonts w:eastAsia="方正仿宋简体"/>
          <w:sz w:val="30"/>
          <w:szCs w:val="30"/>
        </w:rPr>
        <w:t>（一）入库溢短结算：黄金的入库溢短按溢短结算基准日前一交易日交易所挂牌交易的最近月份黄金期货合约的结算价进行结算</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（二）溢短相关票据：正溢短由黄金存入企业向交易所开具普通发票；负溢短由交易所向黄金存入企业开具《黄金结算专用发票》（发票联），《黄金结算专用发票》的存根联和结算联由交易所留存</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（三）溢短结算货款的计算公式：</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溢短结算货款＝溢短×溢短结算基准日前一交易日交易所挂牌交易的最近月份黄金期货合约的结算价</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第三十七条</w:t>
      </w:r>
      <w:r>
        <w:rPr>
          <w:rFonts w:eastAsia="方正仿宋简体"/>
          <w:sz w:val="30"/>
          <w:szCs w:val="30"/>
        </w:rPr>
        <w:t xml:space="preserve"> 黄金出库溢短结算及发票流程</w:t>
      </w:r>
    </w:p>
    <w:p>
      <w:pPr>
        <w:spacing w:line="540" w:lineRule="exact"/>
        <w:ind w:firstLine="600" w:firstLineChars="200"/>
        <w:rPr>
          <w:rFonts w:eastAsia="方正仿宋简体"/>
          <w:sz w:val="30"/>
          <w:szCs w:val="30"/>
        </w:rPr>
      </w:pPr>
      <w:r>
        <w:rPr>
          <w:rFonts w:eastAsia="方正仿宋简体"/>
          <w:sz w:val="30"/>
          <w:szCs w:val="30"/>
        </w:rPr>
        <w:t>（一）未经过交割的标准仓单提货出库溢短结算：会员或客户（提货方）将持有的未经过交割的标准仓单提货出库时，溢短按溢短结算基准日前一交易日交易所挂牌交易的最近月份黄金期货合约的结算价进行结算。正溢短由交易所向提货方开具《黄金结算专用发票》（发票联），《黄金结算专用发票》的存根联和结算联由交易所留存；负溢短由提货方向交易所开具普通发票</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经交割持有的标准仓单提货出库溢短结算：会员或客户将经交割持有的标准仓单提货出库时，溢短按溢短结算基准日前一交易日交易所挂牌交易的最近月份黄金期货合约的结算价进行结算，并由交易所主管税务机关根据买方会员或客户提供的《交割结算单》《标准仓单出库确认单》《溢短结算单》按其实际交割货款（由交割货款和溢短结算货款组成）和提货数量，代交易所向买方会员或客户开具增值税专用发票（抵扣联），增值税专用发票的发票联和记账联由交易所留存。对提货方会员单位或客户为非增值税一般纳税人的，不开具增值税专用发票</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（三）溢短结算货款的计算公式：</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溢短结算货款＝溢短×溢短结算基准日前一交易日交易所挂牌交易的最近月份黄金期货合约的结算价</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第三十八条</w:t>
      </w:r>
      <w:r>
        <w:rPr>
          <w:rFonts w:eastAsia="方正仿宋简体"/>
          <w:sz w:val="30"/>
          <w:szCs w:val="30"/>
        </w:rPr>
        <w:t xml:space="preserve"> 买方会员或客户提货出库时实际交割货款由交割货款和溢短结算货款组成，其中交割货款按后进先出法原则确定。增值税专用发票的单价、金额和税额的具体计算公式如下：</w:t>
      </w:r>
    </w:p>
    <w:p>
      <w:pPr>
        <w:spacing w:line="540" w:lineRule="exact"/>
        <w:ind w:firstLine="600" w:firstLineChars="200"/>
        <w:rPr>
          <w:rFonts w:eastAsia="方正仿宋简体"/>
          <w:sz w:val="30"/>
          <w:szCs w:val="30"/>
        </w:rPr>
      </w:pPr>
      <w:r>
        <w:rPr>
          <w:rFonts w:eastAsia="方正仿宋简体"/>
          <w:sz w:val="30"/>
          <w:szCs w:val="30"/>
        </w:rPr>
        <w:t>实际交割货款＝交割货款＋溢短结算货款</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实际交割价＝实际交割货款÷提货数量</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增值税专用发票的单价＝实际交割价÷（1＋增值税税率）</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增值税专用发票的金额＝数量×增值税专用发票的单价</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增值税税额＝增值税专用发票的金额×增值税税率。</w:t>
      </w:r>
    </w:p>
    <w:p>
      <w:pPr>
        <w:spacing w:line="540" w:lineRule="exact"/>
        <w:jc w:val="center"/>
        <w:rPr>
          <w:rFonts w:eastAsia="方正仿宋简体"/>
          <w:b/>
          <w:sz w:val="30"/>
          <w:szCs w:val="30"/>
        </w:rPr>
      </w:pPr>
      <w:r>
        <w:rPr>
          <w:rFonts w:eastAsia="方正仿宋简体"/>
          <w:b/>
          <w:sz w:val="30"/>
          <w:szCs w:val="30"/>
        </w:rPr>
        <w:t>第四节 期货转现货</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第三十九条</w:t>
      </w:r>
      <w:r>
        <w:rPr>
          <w:rFonts w:eastAsia="方正仿宋简体"/>
          <w:sz w:val="30"/>
          <w:szCs w:val="30"/>
        </w:rPr>
        <w:t xml:space="preserve"> 期转现中使用标准仓单的，期转现的货款和标准仓单交付通过交易所进行，期转现的交易保证金按申请日前一交易日该合约结算价计算，货款和标准仓单交付在申请日后一交易日14:00前在交易所内完成。</w:t>
      </w:r>
    </w:p>
    <w:p>
      <w:pPr>
        <w:spacing w:line="540" w:lineRule="exact"/>
        <w:ind w:firstLine="602" w:firstLineChars="200"/>
        <w:rPr>
          <w:rFonts w:eastAsia="方正仿宋简体"/>
          <w:sz w:val="30"/>
          <w:szCs w:val="30"/>
        </w:rPr>
      </w:pPr>
      <w:r>
        <w:rPr>
          <w:rFonts w:eastAsia="方正仿宋简体"/>
          <w:b/>
          <w:sz w:val="30"/>
          <w:szCs w:val="30"/>
        </w:rPr>
        <w:t>第四十条</w:t>
      </w:r>
      <w:r>
        <w:rPr>
          <w:rFonts w:eastAsia="方正仿宋简体"/>
          <w:sz w:val="30"/>
          <w:szCs w:val="30"/>
        </w:rPr>
        <w:t xml:space="preserve"> 期转现中使用标准仓单的，卖出方应在办理期转现手续后五个工作日内向交易所提交普通发票。交易所在收到卖方提交的普通发票后的第一个工作日内向买方开具普通发票，并退付卖方期转现的交易保证金。</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未按时提交普通发票的，参照</w:t>
      </w:r>
      <w:r>
        <w:rPr>
          <w:rFonts w:eastAsia="方正仿宋简体"/>
          <w:color w:val="000000"/>
          <w:sz w:val="30"/>
          <w:szCs w:val="30"/>
        </w:rPr>
        <w:t>《上海期货交易所结算管理办法》</w:t>
      </w:r>
      <w:r>
        <w:rPr>
          <w:rFonts w:eastAsia="方正仿宋简体"/>
          <w:sz w:val="30"/>
          <w:szCs w:val="30"/>
        </w:rPr>
        <w:t>中迟交增值税专用发票处理的有关规定处理。</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第四十一条</w:t>
      </w:r>
      <w:r>
        <w:rPr>
          <w:rFonts w:eastAsia="方正仿宋简体"/>
          <w:sz w:val="30"/>
          <w:szCs w:val="30"/>
        </w:rPr>
        <w:t xml:space="preserve"> 通过交易所结算的期转现的交割货款采用内转方式办理。</w:t>
      </w:r>
    </w:p>
    <w:p>
      <w:pPr>
        <w:spacing w:line="540" w:lineRule="exact"/>
        <w:jc w:val="center"/>
        <w:rPr>
          <w:rFonts w:eastAsia="黑体"/>
          <w:sz w:val="30"/>
          <w:szCs w:val="30"/>
        </w:rPr>
      </w:pPr>
      <w:r>
        <w:rPr>
          <w:rFonts w:eastAsia="黑体"/>
          <w:sz w:val="30"/>
          <w:szCs w:val="30"/>
        </w:rPr>
        <w:t>第四章 风险管理</w:t>
      </w:r>
    </w:p>
    <w:p>
      <w:pPr>
        <w:spacing w:line="540" w:lineRule="exact"/>
        <w:ind w:firstLine="602" w:firstLineChars="200"/>
        <w:rPr>
          <w:rFonts w:eastAsia="方正仿宋简体"/>
          <w:b/>
          <w:sz w:val="30"/>
          <w:szCs w:val="30"/>
        </w:rPr>
      </w:pPr>
      <w:r>
        <w:rPr>
          <w:rFonts w:eastAsia="方正仿宋简体"/>
          <w:b/>
          <w:sz w:val="30"/>
          <w:szCs w:val="30"/>
        </w:rPr>
        <w:t xml:space="preserve">第四十二条 </w:t>
      </w:r>
      <w:r>
        <w:rPr>
          <w:rFonts w:eastAsia="方正仿宋简体"/>
          <w:sz w:val="30"/>
          <w:szCs w:val="30"/>
        </w:rPr>
        <w:t>黄金期货合约的最低交易保证金为合约价值的4%。</w:t>
      </w:r>
    </w:p>
    <w:p>
      <w:pPr>
        <w:spacing w:line="540" w:lineRule="exact"/>
        <w:ind w:firstLine="602" w:firstLineChars="200"/>
        <w:rPr>
          <w:rFonts w:eastAsia="方正仿宋简体"/>
          <w:b/>
          <w:color w:val="FF0000"/>
          <w:sz w:val="30"/>
          <w:szCs w:val="30"/>
        </w:rPr>
      </w:pPr>
      <w:r>
        <w:rPr>
          <w:rFonts w:eastAsia="方正仿宋简体"/>
          <w:b/>
          <w:sz w:val="30"/>
          <w:szCs w:val="30"/>
        </w:rPr>
        <w:t>第四十三条</w:t>
      </w:r>
      <w:r>
        <w:rPr>
          <w:rFonts w:eastAsia="方正仿宋简体"/>
          <w:sz w:val="30"/>
          <w:szCs w:val="30"/>
        </w:rPr>
        <w:t xml:space="preserve"> 黄金期货合约上市运行不同阶段的交易保证金收取标准为：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
                <w:bCs/>
                <w:color w:val="000000"/>
                <w:sz w:val="24"/>
              </w:rPr>
            </w:pPr>
            <w:r>
              <w:rPr>
                <w:rFonts w:eastAsia="方正仿宋简体"/>
                <w:b/>
                <w:bCs/>
                <w:color w:val="000000"/>
                <w:sz w:val="24"/>
              </w:rPr>
              <w:t>黄金交易保证金比例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20%</w:t>
            </w:r>
          </w:p>
        </w:tc>
      </w:tr>
    </w:tbl>
    <w:p>
      <w:pPr>
        <w:spacing w:line="540" w:lineRule="exact"/>
        <w:ind w:firstLine="602" w:firstLineChars="200"/>
        <w:rPr>
          <w:rFonts w:eastAsia="方正仿宋简体"/>
          <w:sz w:val="30"/>
          <w:szCs w:val="30"/>
        </w:rPr>
      </w:pPr>
      <w:r>
        <w:rPr>
          <w:rFonts w:eastAsia="方正仿宋简体"/>
          <w:b/>
          <w:sz w:val="30"/>
          <w:szCs w:val="30"/>
        </w:rPr>
        <w:t xml:space="preserve">第四十四条 </w:t>
      </w:r>
      <w:r>
        <w:rPr>
          <w:rFonts w:eastAsia="方正仿宋简体"/>
          <w:sz w:val="30"/>
          <w:szCs w:val="30"/>
        </w:rPr>
        <w:t>黄金期货合约涨跌停板幅度为上一交易日结算价±3%。</w:t>
      </w:r>
    </w:p>
    <w:p>
      <w:pPr>
        <w:spacing w:line="540" w:lineRule="exact"/>
        <w:ind w:firstLine="602" w:firstLineChars="200"/>
        <w:rPr>
          <w:rFonts w:eastAsia="方正仿宋简体"/>
          <w:bCs/>
          <w:color w:val="000000"/>
          <w:sz w:val="30"/>
          <w:szCs w:val="30"/>
        </w:rPr>
      </w:pPr>
      <w:r>
        <w:rPr>
          <w:rFonts w:eastAsia="方正仿宋简体"/>
          <w:b/>
          <w:sz w:val="30"/>
          <w:szCs w:val="30"/>
        </w:rPr>
        <w:t>第四十五条</w:t>
      </w:r>
      <w:r>
        <w:rPr>
          <w:rFonts w:eastAsia="方正仿宋简体"/>
          <w:sz w:val="30"/>
          <w:szCs w:val="30"/>
        </w:rPr>
        <w:t xml:space="preserve"> 黄金期货合约在不同时期的限仓比例和限仓数额具体规定如下：</w:t>
      </w:r>
    </w:p>
    <w:p>
      <w:pPr>
        <w:spacing w:line="540" w:lineRule="exact"/>
        <w:ind w:firstLine="600" w:firstLineChars="200"/>
        <w:rPr>
          <w:rFonts w:eastAsia="方正仿宋简体"/>
          <w:bCs/>
          <w:color w:val="000000"/>
          <w:sz w:val="30"/>
          <w:szCs w:val="30"/>
        </w:rPr>
      </w:pPr>
      <w:r>
        <w:rPr>
          <w:rFonts w:eastAsia="方正仿宋简体"/>
          <w:bCs/>
          <w:color w:val="000000"/>
          <w:sz w:val="30"/>
          <w:szCs w:val="30"/>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8"/>
        <w:gridCol w:w="2054"/>
        <w:gridCol w:w="1039"/>
        <w:gridCol w:w="1401"/>
        <w:gridCol w:w="749"/>
        <w:gridCol w:w="1500"/>
        <w:gridCol w:w="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2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交割月前第一月</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22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2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9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525"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黄金</w:t>
            </w:r>
          </w:p>
        </w:tc>
        <w:tc>
          <w:tcPr>
            <w:tcW w:w="122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18000</w:t>
            </w:r>
          </w:p>
        </w:tc>
        <w:tc>
          <w:tcPr>
            <w:tcW w:w="62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9000</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5400</w:t>
            </w:r>
          </w:p>
        </w:tc>
        <w:tc>
          <w:tcPr>
            <w:tcW w:w="44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2700</w:t>
            </w:r>
          </w:p>
        </w:tc>
        <w:tc>
          <w:tcPr>
            <w:tcW w:w="89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1800</w:t>
            </w:r>
          </w:p>
        </w:tc>
        <w:tc>
          <w:tcPr>
            <w:tcW w:w="44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900</w:t>
            </w:r>
          </w:p>
        </w:tc>
      </w:tr>
    </w:tbl>
    <w:p>
      <w:pPr>
        <w:spacing w:line="540" w:lineRule="exact"/>
        <w:rPr>
          <w:rFonts w:eastAsia="方正仿宋简体"/>
          <w:bCs/>
          <w:color w:val="000000"/>
          <w:sz w:val="30"/>
          <w:szCs w:val="30"/>
        </w:rPr>
      </w:pPr>
      <w:r>
        <w:rPr>
          <w:rFonts w:eastAsia="方正仿宋简体"/>
          <w:bCs/>
          <w:color w:val="000000"/>
          <w:sz w:val="30"/>
          <w:szCs w:val="30"/>
        </w:rPr>
        <w:t>注：表中持仓量、限仓数额为单向计算。</w:t>
      </w:r>
    </w:p>
    <w:p>
      <w:pPr>
        <w:spacing w:line="540" w:lineRule="exact"/>
        <w:ind w:firstLine="602" w:firstLineChars="200"/>
        <w:rPr>
          <w:rFonts w:eastAsia="方正仿宋简体"/>
          <w:sz w:val="30"/>
          <w:szCs w:val="30"/>
        </w:rPr>
      </w:pPr>
      <w:r>
        <w:rPr>
          <w:rFonts w:eastAsia="方正仿宋简体"/>
          <w:b/>
          <w:sz w:val="30"/>
          <w:szCs w:val="30"/>
        </w:rPr>
        <w:t>第四十六条</w:t>
      </w:r>
      <w:r>
        <w:rPr>
          <w:rFonts w:hint="eastAsia" w:eastAsia="方正仿宋简体"/>
          <w:b/>
          <w:sz w:val="30"/>
          <w:szCs w:val="30"/>
        </w:rPr>
        <w:t xml:space="preserve"> </w:t>
      </w:r>
      <w:r>
        <w:rPr>
          <w:rFonts w:hint="eastAsia" w:eastAsia="方正仿宋简体"/>
          <w:sz w:val="30"/>
          <w:szCs w:val="30"/>
        </w:rPr>
        <w:t>交割月前第一月的最后一个交易日收盘前，交易者（即客户、非期货公司会员，下同）在每个交易编码上的黄金期货合约的一般持仓应当调整为</w:t>
      </w:r>
      <w:r>
        <w:rPr>
          <w:rFonts w:eastAsia="方正仿宋简体"/>
          <w:sz w:val="30"/>
          <w:szCs w:val="30"/>
        </w:rPr>
        <w:t>3</w:t>
      </w:r>
      <w:r>
        <w:rPr>
          <w:rFonts w:hint="eastAsia" w:eastAsia="方正仿宋简体"/>
          <w:sz w:val="30"/>
          <w:szCs w:val="30"/>
        </w:rPr>
        <w:t>手的整倍数（遇市场特殊情况无法按期调整的，可以顺延一天）；进入交割月后，黄金期货合约一般持仓应当是</w:t>
      </w:r>
      <w:r>
        <w:rPr>
          <w:rFonts w:eastAsia="方正仿宋简体"/>
          <w:sz w:val="30"/>
          <w:szCs w:val="30"/>
        </w:rPr>
        <w:t>3</w:t>
      </w:r>
      <w:r>
        <w:rPr>
          <w:rFonts w:hint="eastAsia" w:eastAsia="方正仿宋简体"/>
          <w:sz w:val="30"/>
          <w:szCs w:val="30"/>
        </w:rPr>
        <w:t>手的整倍数，新开仓、平仓也应当是</w:t>
      </w:r>
      <w:r>
        <w:rPr>
          <w:rFonts w:eastAsia="方正仿宋简体"/>
          <w:sz w:val="30"/>
          <w:szCs w:val="30"/>
        </w:rPr>
        <w:t>3</w:t>
      </w:r>
      <w:r>
        <w:rPr>
          <w:rFonts w:hint="eastAsia" w:eastAsia="方正仿宋简体"/>
          <w:sz w:val="30"/>
          <w:szCs w:val="30"/>
        </w:rPr>
        <w:t>手的整倍数。</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第四十七条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黄金</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w:t>
      </w:r>
      <w:r>
        <w:rPr>
          <w:rFonts w:eastAsia="方正仿宋简体"/>
          <w:color w:val="000000"/>
          <w:sz w:val="30"/>
          <w:szCs w:val="30"/>
        </w:rPr>
        <w:t>且</w:t>
      </w:r>
      <w:r>
        <w:rPr>
          <w:rFonts w:hint="eastAsia" w:eastAsia="方正仿宋简体"/>
          <w:color w:val="000000"/>
          <w:sz w:val="30"/>
          <w:szCs w:val="30"/>
        </w:rPr>
        <w:t>交易者</w:t>
      </w:r>
      <w:r>
        <w:rPr>
          <w:rFonts w:eastAsia="方正仿宋简体"/>
          <w:color w:val="000000"/>
          <w:sz w:val="30"/>
          <w:szCs w:val="30"/>
        </w:rPr>
        <w:t>该</w:t>
      </w:r>
      <w:r>
        <w:rPr>
          <w:rFonts w:hint="eastAsia" w:eastAsia="方正仿宋简体"/>
          <w:sz w:val="30"/>
          <w:szCs w:val="30"/>
        </w:rPr>
        <w:t>黄金</w:t>
      </w:r>
      <w:r>
        <w:rPr>
          <w:rFonts w:eastAsia="方正仿宋简体"/>
          <w:sz w:val="30"/>
          <w:szCs w:val="30"/>
        </w:rPr>
        <w:t>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4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40" w:lineRule="exact"/>
        <w:jc w:val="center"/>
        <w:rPr>
          <w:rFonts w:eastAsia="黑体"/>
          <w:sz w:val="30"/>
          <w:szCs w:val="30"/>
        </w:rPr>
      </w:pPr>
      <w:r>
        <w:rPr>
          <w:rFonts w:eastAsia="黑体"/>
          <w:sz w:val="30"/>
          <w:szCs w:val="30"/>
        </w:rPr>
        <w:t>第五章 附则</w:t>
      </w:r>
    </w:p>
    <w:p>
      <w:pPr>
        <w:spacing w:line="540" w:lineRule="exact"/>
        <w:ind w:firstLine="602" w:firstLineChars="200"/>
        <w:rPr>
          <w:rFonts w:eastAsia="方正仿宋简体"/>
          <w:b/>
          <w:sz w:val="30"/>
          <w:szCs w:val="30"/>
        </w:rPr>
      </w:pPr>
      <w:r>
        <w:rPr>
          <w:rFonts w:eastAsia="方正仿宋简体"/>
          <w:b/>
          <w:sz w:val="30"/>
          <w:szCs w:val="30"/>
        </w:rPr>
        <w:t xml:space="preserve">第四十八条 </w:t>
      </w:r>
      <w:r>
        <w:rPr>
          <w:rFonts w:eastAsia="方正仿宋简体"/>
          <w:sz w:val="30"/>
          <w:szCs w:val="30"/>
        </w:rPr>
        <w:t>本细则未规定的，按照交易所相关业务规则的规定执行。</w:t>
      </w:r>
    </w:p>
    <w:p>
      <w:pPr>
        <w:spacing w:line="540" w:lineRule="exact"/>
        <w:ind w:firstLine="602" w:firstLineChars="200"/>
        <w:rPr>
          <w:rFonts w:eastAsia="方正仿宋简体"/>
          <w:b/>
          <w:sz w:val="30"/>
          <w:szCs w:val="30"/>
        </w:rPr>
      </w:pPr>
      <w:r>
        <w:rPr>
          <w:rFonts w:eastAsia="方正仿宋简体"/>
          <w:b/>
          <w:sz w:val="30"/>
          <w:szCs w:val="30"/>
        </w:rPr>
        <w:t xml:space="preserve">第四十九条 </w:t>
      </w:r>
      <w:r>
        <w:rPr>
          <w:rFonts w:eastAsia="方正仿宋简体"/>
          <w:sz w:val="30"/>
          <w:szCs w:val="30"/>
        </w:rPr>
        <w:t>本细则所称</w:t>
      </w:r>
      <w:r>
        <w:rPr>
          <w:rFonts w:hint="eastAsia" w:eastAsia="方正仿宋简体"/>
          <w:sz w:val="30"/>
          <w:szCs w:val="30"/>
        </w:rPr>
        <w:t>“</w:t>
      </w:r>
      <w:r>
        <w:rPr>
          <w:rFonts w:eastAsia="方正仿宋简体"/>
          <w:sz w:val="30"/>
          <w:szCs w:val="30"/>
        </w:rPr>
        <w:t>毛重</w:t>
      </w:r>
      <w:r>
        <w:rPr>
          <w:rFonts w:hint="eastAsia" w:eastAsia="方正仿宋简体"/>
          <w:sz w:val="30"/>
          <w:szCs w:val="30"/>
        </w:rPr>
        <w:t>”</w:t>
      </w:r>
      <w:r>
        <w:rPr>
          <w:rFonts w:eastAsia="方正仿宋简体"/>
          <w:sz w:val="30"/>
          <w:szCs w:val="30"/>
        </w:rPr>
        <w:t>是指金锭（不含包装）的重量，</w:t>
      </w:r>
      <w:r>
        <w:rPr>
          <w:rFonts w:hint="eastAsia" w:eastAsia="方正仿宋简体"/>
          <w:sz w:val="30"/>
          <w:szCs w:val="30"/>
        </w:rPr>
        <w:t>“</w:t>
      </w:r>
      <w:r>
        <w:rPr>
          <w:rFonts w:eastAsia="方正仿宋简体"/>
          <w:sz w:val="30"/>
          <w:szCs w:val="30"/>
        </w:rPr>
        <w:t>纯重</w:t>
      </w:r>
      <w:r>
        <w:rPr>
          <w:rFonts w:hint="eastAsia" w:eastAsia="方正仿宋简体"/>
          <w:sz w:val="30"/>
          <w:szCs w:val="30"/>
        </w:rPr>
        <w:t>”</w:t>
      </w:r>
      <w:r>
        <w:rPr>
          <w:rFonts w:eastAsia="方正仿宋简体"/>
          <w:sz w:val="30"/>
          <w:szCs w:val="30"/>
        </w:rPr>
        <w:t>是指金锭中纯金的重量，纯重</w:t>
      </w:r>
      <w:r>
        <w:rPr>
          <w:rFonts w:hint="eastAsia" w:eastAsia="方正仿宋简体"/>
          <w:sz w:val="30"/>
          <w:szCs w:val="30"/>
        </w:rPr>
        <w:t>=</w:t>
      </w:r>
      <w:r>
        <w:rPr>
          <w:rFonts w:eastAsia="方正仿宋简体"/>
          <w:sz w:val="30"/>
          <w:szCs w:val="30"/>
        </w:rPr>
        <w:t>毛重×金含量（成色）。</w:t>
      </w:r>
    </w:p>
    <w:p>
      <w:pPr>
        <w:spacing w:line="540" w:lineRule="exact"/>
        <w:ind w:firstLine="602" w:firstLineChars="200"/>
        <w:rPr>
          <w:rFonts w:eastAsia="方正仿宋简体"/>
          <w:sz w:val="30"/>
          <w:szCs w:val="30"/>
        </w:rPr>
      </w:pPr>
      <w:r>
        <w:rPr>
          <w:rFonts w:eastAsia="方正仿宋简体"/>
          <w:b/>
          <w:sz w:val="30"/>
          <w:szCs w:val="30"/>
        </w:rPr>
        <w:t>第五十条</w:t>
      </w:r>
      <w:r>
        <w:rPr>
          <w:rFonts w:eastAsia="方正仿宋简体"/>
          <w:sz w:val="30"/>
          <w:szCs w:val="30"/>
        </w:rPr>
        <w:t xml:space="preserve"> 违反本细则规定的，交易所按照《上海期货交易所违规处理办法》的有关规定处理。</w:t>
      </w:r>
    </w:p>
    <w:p>
      <w:pPr>
        <w:spacing w:line="54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第五十二条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上海期货交易所白银期货业务细则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40" w:lineRule="exact"/>
        <w:rPr>
          <w:rFonts w:eastAsia="楷体"/>
          <w:color w:val="000000"/>
          <w:sz w:val="32"/>
          <w:szCs w:val="32"/>
        </w:rPr>
      </w:pPr>
    </w:p>
    <w:p>
      <w:pPr>
        <w:spacing w:line="540" w:lineRule="exact"/>
        <w:jc w:val="center"/>
        <w:rPr>
          <w:rFonts w:eastAsia="方正黑体简体"/>
          <w:sz w:val="30"/>
          <w:szCs w:val="30"/>
        </w:rPr>
      </w:pPr>
      <w:r>
        <w:rPr>
          <w:rFonts w:eastAsia="方正黑体简体"/>
          <w:sz w:val="30"/>
          <w:szCs w:val="30"/>
        </w:rPr>
        <w:t>第一章 总则</w:t>
      </w:r>
    </w:p>
    <w:p>
      <w:pPr>
        <w:spacing w:line="54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为了规范上海期货交易所（以下简称交易所）白银期货相关业务，根据《上海期货交易所交易规则》《上海期货交易所白银期货合约》以及相关业务规则，制定本细则。</w:t>
      </w:r>
    </w:p>
    <w:p>
      <w:pPr>
        <w:spacing w:line="54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40" w:lineRule="exact"/>
        <w:jc w:val="center"/>
        <w:rPr>
          <w:rFonts w:eastAsia="黑体"/>
          <w:sz w:val="30"/>
          <w:szCs w:val="30"/>
        </w:rPr>
      </w:pPr>
      <w:r>
        <w:rPr>
          <w:rFonts w:eastAsia="黑体"/>
          <w:sz w:val="30"/>
          <w:szCs w:val="30"/>
        </w:rPr>
        <w:t>第二章 交易业务</w:t>
      </w:r>
    </w:p>
    <w:p>
      <w:pPr>
        <w:spacing w:line="54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白银期货合约的交易单位为15千克/手。</w:t>
      </w:r>
    </w:p>
    <w:p>
      <w:pPr>
        <w:spacing w:line="54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白银期货合约的报价单位为元（人民币）/千克。</w:t>
      </w:r>
    </w:p>
    <w:p>
      <w:pPr>
        <w:spacing w:line="54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白银期货合约的最小变动价位为1元/千克。</w:t>
      </w:r>
    </w:p>
    <w:p>
      <w:pPr>
        <w:spacing w:line="54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白银期货合约月份为1～12月。</w:t>
      </w:r>
    </w:p>
    <w:p>
      <w:pPr>
        <w:spacing w:line="54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白银期货合约的交易时间为上午9:00～11:30，下午1:30～3:00和交易所规定的其他交易时间。</w:t>
      </w:r>
    </w:p>
    <w:p>
      <w:pPr>
        <w:spacing w:line="54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白银期货合约的最后交易日为合约月份的15日，遇国家法定节假日顺延，春节月份等最后交易日交易所可另行调整并通知。</w:t>
      </w:r>
    </w:p>
    <w:p>
      <w:pPr>
        <w:spacing w:line="54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白银期货合约的交易代码为AG。</w:t>
      </w:r>
    </w:p>
    <w:p>
      <w:pPr>
        <w:spacing w:line="54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白银期货套期保值交易持仓额度和套利交易持仓额度，所涉的一般月份是指合约挂牌至交割月前第二月的最后一个交易日，所涉的临近交割月份是指交割月前第一月和交割月份。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白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白银期货临近交割月份套期保值交易持仓额度的申请应当在该套期保值所涉合约交割月前第二月的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w:t>
      </w:r>
      <w:r>
        <w:rPr>
          <w:rFonts w:hint="eastAsia" w:eastAsia="方正仿宋简体"/>
          <w:sz w:val="30"/>
          <w:szCs w:val="30"/>
        </w:rPr>
        <w:t>白银</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4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白银</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40" w:lineRule="exact"/>
        <w:jc w:val="center"/>
        <w:rPr>
          <w:rFonts w:eastAsia="黑体"/>
          <w:sz w:val="30"/>
          <w:szCs w:val="30"/>
        </w:rPr>
      </w:pPr>
      <w:r>
        <w:rPr>
          <w:rFonts w:eastAsia="黑体"/>
          <w:sz w:val="30"/>
          <w:szCs w:val="30"/>
        </w:rPr>
        <w:t>第三章 交割业务</w:t>
      </w:r>
    </w:p>
    <w:p>
      <w:pPr>
        <w:spacing w:line="54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白银期货适用期货转现货、仓库交割。</w:t>
      </w:r>
    </w:p>
    <w:p>
      <w:pPr>
        <w:spacing w:line="540" w:lineRule="exact"/>
        <w:ind w:firstLine="600" w:firstLineChars="200"/>
        <w:rPr>
          <w:rFonts w:eastAsia="方正仿宋简体"/>
          <w:sz w:val="30"/>
          <w:szCs w:val="30"/>
        </w:rPr>
      </w:pPr>
      <w:r>
        <w:rPr>
          <w:rFonts w:eastAsia="方正仿宋简体"/>
          <w:sz w:val="30"/>
          <w:szCs w:val="30"/>
        </w:rPr>
        <w:t>白银期货实行完税交割。</w:t>
      </w:r>
    </w:p>
    <w:p>
      <w:pPr>
        <w:spacing w:line="540" w:lineRule="exact"/>
        <w:ind w:firstLine="602" w:firstLineChars="200"/>
        <w:rPr>
          <w:rFonts w:eastAsia="方正仿宋简体"/>
          <w:sz w:val="30"/>
          <w:szCs w:val="30"/>
        </w:rPr>
      </w:pPr>
      <w:r>
        <w:rPr>
          <w:rFonts w:eastAsia="方正仿宋简体"/>
          <w:b/>
          <w:sz w:val="30"/>
          <w:szCs w:val="30"/>
        </w:rPr>
        <w:t>第十四条</w:t>
      </w:r>
      <w:r>
        <w:rPr>
          <w:rFonts w:eastAsia="方正仿宋简体"/>
          <w:sz w:val="30"/>
          <w:szCs w:val="30"/>
        </w:rPr>
        <w:t xml:space="preserve"> 白银期货交割品级详见《上海期货交易所白银期货合约》。</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第十五条</w:t>
      </w:r>
      <w:r>
        <w:rPr>
          <w:rFonts w:eastAsia="方正仿宋简体"/>
          <w:sz w:val="30"/>
          <w:szCs w:val="30"/>
        </w:rPr>
        <w:t xml:space="preserve"> 白银期货交割商品应当是在交易所注册的生产企业生产的注册商标的商品。</w:t>
      </w:r>
    </w:p>
    <w:p>
      <w:pPr>
        <w:spacing w:line="54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交割商品的规格</w:t>
      </w:r>
    </w:p>
    <w:p>
      <w:pPr>
        <w:spacing w:line="540" w:lineRule="exact"/>
        <w:ind w:firstLine="600" w:firstLineChars="200"/>
        <w:rPr>
          <w:rFonts w:eastAsia="方正仿宋简体"/>
          <w:sz w:val="30"/>
          <w:szCs w:val="30"/>
        </w:rPr>
      </w:pPr>
      <w:r>
        <w:rPr>
          <w:rFonts w:eastAsia="方正仿宋简体"/>
          <w:sz w:val="30"/>
          <w:szCs w:val="30"/>
        </w:rPr>
        <w:t>交割银锭的规格为15千克±1千克和30千克±2千克</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每一标准仓单的银锭，应当是同一生产企业生产、同一牌号、同一注册商标、同一块形的商品组成。</w:t>
      </w:r>
    </w:p>
    <w:p>
      <w:pPr>
        <w:spacing w:line="54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交割商品的包装</w:t>
      </w:r>
    </w:p>
    <w:p>
      <w:pPr>
        <w:spacing w:line="540" w:lineRule="exact"/>
        <w:ind w:firstLine="600" w:firstLineChars="200"/>
        <w:rPr>
          <w:rFonts w:eastAsia="方正仿宋简体"/>
          <w:sz w:val="30"/>
          <w:szCs w:val="30"/>
          <w:shd w:val="pct10" w:color="auto" w:fill="FFFFFF"/>
        </w:rPr>
      </w:pPr>
      <w:r>
        <w:rPr>
          <w:rFonts w:eastAsia="方正仿宋简体"/>
          <w:sz w:val="30"/>
          <w:szCs w:val="30"/>
        </w:rPr>
        <w:t>入库及出库银锭均无包装要求</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4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（二）进口商品：相关进口商品的单证要求由交易所另行发布。</w:t>
      </w:r>
    </w:p>
    <w:p>
      <w:pPr>
        <w:spacing w:line="54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溢短和磅差：每张银锭标准仓单溢短不超过±2千克，每块银锭磅差不超过±1克。</w:t>
      </w:r>
    </w:p>
    <w:p>
      <w:pPr>
        <w:spacing w:line="54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入库银锭的数（重）量检验 </w:t>
      </w:r>
    </w:p>
    <w:p>
      <w:pPr>
        <w:spacing w:line="540" w:lineRule="exact"/>
        <w:ind w:firstLine="600" w:firstLineChars="200"/>
        <w:rPr>
          <w:rFonts w:eastAsia="方正仿宋简体"/>
          <w:b/>
          <w:sz w:val="30"/>
          <w:szCs w:val="30"/>
        </w:rPr>
      </w:pPr>
      <w:r>
        <w:rPr>
          <w:rFonts w:eastAsia="方正仿宋简体"/>
          <w:sz w:val="30"/>
          <w:szCs w:val="30"/>
        </w:rPr>
        <w:t>交割仓库对入库银锭进行点数并逐一复磅。在规定的磅差范围内，每块银锭的重量以生产企业的质量证明书标识的重量为准</w:t>
      </w:r>
      <w:r>
        <w:rPr>
          <w:rFonts w:hint="eastAsia" w:eastAsia="方正仿宋简体"/>
          <w:sz w:val="30"/>
          <w:szCs w:val="30"/>
        </w:rPr>
        <w:t>。</w:t>
      </w:r>
    </w:p>
    <w:p>
      <w:pPr>
        <w:spacing w:line="540" w:lineRule="exact"/>
        <w:ind w:firstLine="602" w:firstLineChars="200"/>
        <w:rPr>
          <w:rFonts w:eastAsia="方正仿宋简体"/>
          <w:sz w:val="30"/>
          <w:szCs w:val="30"/>
          <w:shd w:val="pct10" w:color="auto" w:fill="FFFFFF"/>
        </w:rPr>
      </w:pPr>
      <w:r>
        <w:rPr>
          <w:rFonts w:eastAsia="方正仿宋简体"/>
          <w:b/>
          <w:sz w:val="30"/>
          <w:szCs w:val="30"/>
        </w:rPr>
        <w:t>第二十一条</w:t>
      </w:r>
      <w:r>
        <w:rPr>
          <w:rFonts w:eastAsia="方正仿宋简体"/>
          <w:sz w:val="30"/>
          <w:szCs w:val="30"/>
        </w:rPr>
        <w:t xml:space="preserve"> 白银期货合约的交割单位为30千克。</w:t>
      </w:r>
    </w:p>
    <w:p>
      <w:pPr>
        <w:spacing w:line="540" w:lineRule="exact"/>
        <w:ind w:firstLine="602" w:firstLineChars="200"/>
        <w:rPr>
          <w:rFonts w:eastAsia="方正仿宋简体"/>
          <w:sz w:val="30"/>
          <w:szCs w:val="30"/>
          <w:shd w:val="pct10" w:color="auto" w:fill="FFFFFF"/>
        </w:rPr>
      </w:pPr>
      <w:r>
        <w:rPr>
          <w:rFonts w:eastAsia="方正仿宋简体"/>
          <w:b/>
          <w:sz w:val="30"/>
          <w:szCs w:val="30"/>
        </w:rPr>
        <w:t>第二十二条</w:t>
      </w:r>
      <w:r>
        <w:rPr>
          <w:rFonts w:eastAsia="方正仿宋简体"/>
          <w:sz w:val="30"/>
          <w:szCs w:val="30"/>
        </w:rPr>
        <w:t xml:space="preserve"> 白银期货合约的交割日期为最后交易日后连续二个工作日。</w:t>
      </w:r>
    </w:p>
    <w:p>
      <w:pPr>
        <w:spacing w:line="54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白银期货合约交割结算的基准价为该期货合约最后交易日的结算价。</w:t>
      </w:r>
    </w:p>
    <w:p>
      <w:pPr>
        <w:spacing w:line="54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交割地点：交易所交割仓库，由交易所另行公告。</w:t>
      </w:r>
    </w:p>
    <w:p>
      <w:pPr>
        <w:spacing w:line="540" w:lineRule="exact"/>
        <w:ind w:firstLine="602" w:firstLineChars="200"/>
        <w:rPr>
          <w:rFonts w:eastAsia="方正仿宋简体"/>
          <w:sz w:val="30"/>
          <w:szCs w:val="30"/>
        </w:rPr>
      </w:pPr>
      <w:bookmarkStart w:id="4" w:name="_Hlk138770454"/>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有异议的白银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bookmarkEnd w:id="4"/>
    <w:p>
      <w:pPr>
        <w:spacing w:line="54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期转现使用标准仓单并通过交易所结算发生白银交割实物质量纠纷的，买方应当在货款和标准仓单交换日后的25天内提出质量异议申请，并应当同时提供交易所指定检验机构出具的质量鉴定结论。</w:t>
      </w:r>
    </w:p>
    <w:p>
      <w:pPr>
        <w:spacing w:line="540" w:lineRule="exact"/>
        <w:jc w:val="center"/>
        <w:rPr>
          <w:rFonts w:eastAsia="黑体"/>
          <w:sz w:val="30"/>
          <w:szCs w:val="30"/>
        </w:rPr>
      </w:pPr>
      <w:r>
        <w:rPr>
          <w:rFonts w:eastAsia="黑体"/>
          <w:sz w:val="30"/>
          <w:szCs w:val="30"/>
        </w:rPr>
        <w:t>第四章 风险管理</w:t>
      </w:r>
    </w:p>
    <w:p>
      <w:pPr>
        <w:spacing w:line="54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白银期货合约的最低交易保证金为合约价值的4%。</w:t>
      </w:r>
    </w:p>
    <w:p>
      <w:pPr>
        <w:spacing w:line="54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白银期货合约上市运行不同阶段的交易保证金收取标准为：</w:t>
      </w:r>
      <w:r>
        <w:rPr>
          <w:rFonts w:eastAsia="方正仿宋简体"/>
          <w:b/>
          <w:color w:val="FF0000"/>
          <w:sz w:val="30"/>
          <w:szCs w:val="30"/>
        </w:rPr>
        <w:t xml:space="preserve"> </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4495" w:type="dxa"/>
          </w:tcPr>
          <w:p>
            <w:pPr>
              <w:spacing w:line="540" w:lineRule="exact"/>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Pr>
          <w:p>
            <w:pPr>
              <w:spacing w:line="540" w:lineRule="exact"/>
              <w:jc w:val="center"/>
              <w:rPr>
                <w:rFonts w:eastAsia="方正仿宋简体"/>
                <w:b/>
                <w:bCs/>
                <w:color w:val="000000"/>
                <w:sz w:val="24"/>
              </w:rPr>
            </w:pPr>
            <w:r>
              <w:rPr>
                <w:rFonts w:eastAsia="方正仿宋简体"/>
                <w:b/>
                <w:bCs/>
                <w:color w:val="000000"/>
                <w:sz w:val="24"/>
              </w:rPr>
              <w:t>白银交易保证金比例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tcPr>
          <w:p>
            <w:pPr>
              <w:spacing w:line="540" w:lineRule="exact"/>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tcPr>
          <w:p>
            <w:pPr>
              <w:spacing w:line="540" w:lineRule="exact"/>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4495" w:type="dxa"/>
          </w:tcPr>
          <w:p>
            <w:pPr>
              <w:spacing w:line="54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Pr>
          <w:p>
            <w:pPr>
              <w:spacing w:line="54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tcPr>
          <w:p>
            <w:pPr>
              <w:spacing w:line="540" w:lineRule="exact"/>
              <w:jc w:val="center"/>
              <w:rPr>
                <w:rFonts w:eastAsia="方正仿宋简体"/>
                <w:bCs/>
                <w:color w:val="000000"/>
                <w:sz w:val="24"/>
              </w:rPr>
            </w:pPr>
            <w:r>
              <w:rPr>
                <w:rFonts w:eastAsia="方正仿宋简体"/>
                <w:bCs/>
                <w:color w:val="000000"/>
                <w:sz w:val="24"/>
              </w:rPr>
              <w:t>交割月份的第一个交易日起</w:t>
            </w:r>
          </w:p>
        </w:tc>
        <w:tc>
          <w:tcPr>
            <w:tcW w:w="3734" w:type="dxa"/>
          </w:tcPr>
          <w:p>
            <w:pPr>
              <w:spacing w:line="54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tcPr>
          <w:p>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Pr>
          <w:p>
            <w:pPr>
              <w:spacing w:line="540" w:lineRule="exact"/>
              <w:jc w:val="center"/>
              <w:rPr>
                <w:rFonts w:eastAsia="方正仿宋简体"/>
                <w:bCs/>
                <w:color w:val="000000"/>
                <w:sz w:val="24"/>
              </w:rPr>
            </w:pPr>
            <w:r>
              <w:rPr>
                <w:rFonts w:eastAsia="方正仿宋简体"/>
                <w:bCs/>
                <w:color w:val="000000"/>
                <w:sz w:val="24"/>
              </w:rPr>
              <w:t>20%</w:t>
            </w:r>
          </w:p>
        </w:tc>
      </w:tr>
    </w:tbl>
    <w:p>
      <w:pPr>
        <w:spacing w:line="54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白银期货合约涨跌停板幅度为上一交易日结算价±3%。</w:t>
      </w:r>
    </w:p>
    <w:p>
      <w:pPr>
        <w:spacing w:line="540" w:lineRule="exact"/>
        <w:ind w:firstLine="602" w:firstLineChars="200"/>
        <w:rPr>
          <w:rFonts w:eastAsia="方正仿宋简体"/>
          <w:bCs/>
          <w:color w:val="000000"/>
          <w:sz w:val="24"/>
        </w:rPr>
      </w:pPr>
      <w:r>
        <w:rPr>
          <w:rFonts w:eastAsia="方正仿宋简体"/>
          <w:b/>
          <w:sz w:val="30"/>
          <w:szCs w:val="30"/>
        </w:rPr>
        <w:t>第三十条</w:t>
      </w:r>
      <w:r>
        <w:rPr>
          <w:rFonts w:eastAsia="方正仿宋简体"/>
          <w:sz w:val="30"/>
          <w:szCs w:val="30"/>
        </w:rPr>
        <w:t xml:space="preserve"> 白银期货合约在不同时期的限仓比例和限仓数额具体规定如下：</w:t>
      </w:r>
    </w:p>
    <w:p>
      <w:pPr>
        <w:spacing w:line="540" w:lineRule="exact"/>
        <w:ind w:firstLine="480" w:firstLineChars="200"/>
        <w:rPr>
          <w:rFonts w:eastAsia="方正仿宋简体"/>
          <w:bCs/>
          <w:color w:val="000000"/>
          <w:sz w:val="24"/>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8"/>
        <w:gridCol w:w="2053"/>
        <w:gridCol w:w="1038"/>
        <w:gridCol w:w="1401"/>
        <w:gridCol w:w="858"/>
        <w:gridCol w:w="1393"/>
        <w:gridCol w:w="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2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351"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交割月前第一月</w:t>
            </w:r>
          </w:p>
        </w:tc>
        <w:tc>
          <w:tcPr>
            <w:tcW w:w="12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51"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2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22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2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51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33"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1"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525"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白银</w:t>
            </w:r>
          </w:p>
        </w:tc>
        <w:tc>
          <w:tcPr>
            <w:tcW w:w="1228"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18000</w:t>
            </w:r>
          </w:p>
        </w:tc>
        <w:tc>
          <w:tcPr>
            <w:tcW w:w="620"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9000</w:t>
            </w:r>
          </w:p>
        </w:tc>
        <w:tc>
          <w:tcPr>
            <w:tcW w:w="838"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5400</w:t>
            </w:r>
          </w:p>
        </w:tc>
        <w:tc>
          <w:tcPr>
            <w:tcW w:w="512"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2700</w:t>
            </w:r>
          </w:p>
        </w:tc>
        <w:tc>
          <w:tcPr>
            <w:tcW w:w="833"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1800</w:t>
            </w:r>
          </w:p>
        </w:tc>
        <w:tc>
          <w:tcPr>
            <w:tcW w:w="441"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900</w:t>
            </w:r>
          </w:p>
        </w:tc>
      </w:tr>
    </w:tbl>
    <w:p>
      <w:pPr>
        <w:spacing w:line="54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40" w:lineRule="exact"/>
        <w:ind w:firstLine="602" w:firstLineChars="200"/>
        <w:rPr>
          <w:rFonts w:eastAsia="方正仿宋简体"/>
          <w:sz w:val="30"/>
          <w:szCs w:val="30"/>
        </w:rPr>
      </w:pPr>
      <w:r>
        <w:rPr>
          <w:rFonts w:eastAsia="方正仿宋简体"/>
          <w:b/>
          <w:sz w:val="30"/>
          <w:szCs w:val="30"/>
        </w:rPr>
        <w:t>第三十一条</w:t>
      </w:r>
      <w:r>
        <w:rPr>
          <w:rFonts w:hint="eastAsia" w:eastAsia="方正仿宋简体"/>
          <w:b/>
          <w:sz w:val="30"/>
          <w:szCs w:val="30"/>
        </w:rPr>
        <w:t xml:space="preserve"> </w:t>
      </w:r>
      <w:r>
        <w:rPr>
          <w:rFonts w:hint="eastAsia" w:eastAsia="方正仿宋简体"/>
          <w:sz w:val="30"/>
          <w:szCs w:val="30"/>
        </w:rPr>
        <w:t>交割月前第一月</w:t>
      </w:r>
      <w:r>
        <w:rPr>
          <w:rFonts w:hint="eastAsia" w:eastAsia="方正仿宋简体"/>
          <w:color w:val="000000"/>
          <w:sz w:val="30"/>
          <w:szCs w:val="30"/>
        </w:rPr>
        <w:t>的最后一个交易日收盘前，交易者（即客户、非期货公司会员，下同）在每个交易编码上的白银期货合约的一般持仓应当调整为</w:t>
      </w:r>
      <w:r>
        <w:rPr>
          <w:rFonts w:eastAsia="方正仿宋简体"/>
          <w:color w:val="000000"/>
          <w:sz w:val="30"/>
          <w:szCs w:val="30"/>
        </w:rPr>
        <w:t>2</w:t>
      </w:r>
      <w:r>
        <w:rPr>
          <w:rFonts w:hint="eastAsia" w:eastAsia="方正仿宋简体"/>
          <w:color w:val="000000"/>
          <w:sz w:val="30"/>
          <w:szCs w:val="30"/>
        </w:rPr>
        <w:t>手的整倍数（遇市场特殊情况无法按期调整的，可以顺延一天）；进入交割月后，白银期货合约一般持仓应当是</w:t>
      </w:r>
      <w:r>
        <w:rPr>
          <w:rFonts w:eastAsia="方正仿宋简体"/>
          <w:color w:val="000000"/>
          <w:sz w:val="30"/>
          <w:szCs w:val="30"/>
        </w:rPr>
        <w:t>2</w:t>
      </w:r>
      <w:r>
        <w:rPr>
          <w:rFonts w:hint="eastAsia" w:eastAsia="方正仿宋简体"/>
          <w:color w:val="000000"/>
          <w:sz w:val="30"/>
          <w:szCs w:val="30"/>
        </w:rPr>
        <w:t>手的整倍数，新开</w:t>
      </w:r>
      <w:r>
        <w:rPr>
          <w:rFonts w:hint="eastAsia" w:eastAsia="方正仿宋简体"/>
          <w:sz w:val="30"/>
          <w:szCs w:val="30"/>
        </w:rPr>
        <w:t>仓、平仓也应当是</w:t>
      </w:r>
      <w:r>
        <w:rPr>
          <w:rFonts w:eastAsia="方正仿宋简体"/>
          <w:sz w:val="30"/>
          <w:szCs w:val="30"/>
        </w:rPr>
        <w:t>2</w:t>
      </w:r>
      <w:r>
        <w:rPr>
          <w:rFonts w:hint="eastAsia" w:eastAsia="方正仿宋简体"/>
          <w:sz w:val="30"/>
          <w:szCs w:val="30"/>
        </w:rPr>
        <w:t>手的整倍数。</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交易所对某一</w:t>
      </w:r>
      <w:r>
        <w:rPr>
          <w:rFonts w:hint="eastAsia" w:eastAsia="方正仿宋简体"/>
          <w:sz w:val="30"/>
          <w:szCs w:val="30"/>
        </w:rPr>
        <w:t>白银</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w:t>
      </w:r>
      <w:r>
        <w:rPr>
          <w:rFonts w:eastAsia="方正仿宋简体"/>
          <w:color w:val="000000"/>
          <w:sz w:val="30"/>
          <w:szCs w:val="30"/>
        </w:rPr>
        <w:t>仓基准日收市后，已在计算机系统中以涨跌停板价申报无法成交的，且</w:t>
      </w:r>
      <w:r>
        <w:rPr>
          <w:rFonts w:hint="eastAsia" w:eastAsia="方正仿宋简体"/>
          <w:color w:val="000000"/>
          <w:sz w:val="30"/>
          <w:szCs w:val="30"/>
        </w:rPr>
        <w:t>交易者</w:t>
      </w:r>
      <w:r>
        <w:rPr>
          <w:rFonts w:eastAsia="方正仿宋简体"/>
          <w:sz w:val="30"/>
          <w:szCs w:val="30"/>
        </w:rPr>
        <w:t>该白银期货合约的单位净持仓亏损大于或者等于强制减仓基准日结算价6%的所有申报平仓数量的总和为平仓数量。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4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40" w:lineRule="exact"/>
        <w:jc w:val="center"/>
        <w:rPr>
          <w:rFonts w:eastAsia="黑体"/>
          <w:sz w:val="30"/>
          <w:szCs w:val="30"/>
        </w:rPr>
      </w:pPr>
      <w:r>
        <w:rPr>
          <w:rFonts w:eastAsia="黑体"/>
          <w:sz w:val="30"/>
          <w:szCs w:val="30"/>
        </w:rPr>
        <w:t>第五章 附则</w:t>
      </w:r>
    </w:p>
    <w:p>
      <w:pPr>
        <w:spacing w:line="54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本细则未规定的，按照交易所相关业务规则的规定执行。</w:t>
      </w:r>
    </w:p>
    <w:p>
      <w:pPr>
        <w:spacing w:line="54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违反本细则规定的，交易所按照《上海期货交易所违规处理办法》的有关规定处理。</w:t>
      </w:r>
    </w:p>
    <w:p>
      <w:pPr>
        <w:spacing w:line="54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第三十六条</w:t>
      </w:r>
      <w:r>
        <w:rPr>
          <w:rFonts w:eastAsia="方正仿宋简体"/>
          <w:sz w:val="30"/>
          <w:szCs w:val="30"/>
        </w:rPr>
        <w:t xml:space="preserve"> 本细则</w:t>
      </w:r>
      <w:r>
        <w:rPr>
          <w:rFonts w:hint="eastAsia" w:eastAsia="方正仿宋简体"/>
          <w:sz w:val="30"/>
          <w:szCs w:val="30"/>
        </w:rPr>
        <w:t>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上海期货交易所燃料油期货业务细则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eastAsia="楷体"/>
          <w:bCs/>
          <w:sz w:val="28"/>
          <w:szCs w:val="30"/>
        </w:rPr>
      </w:pPr>
    </w:p>
    <w:p>
      <w:pPr>
        <w:spacing w:line="560" w:lineRule="exact"/>
        <w:jc w:val="center"/>
        <w:rPr>
          <w:rFonts w:eastAsia="方正黑体简体"/>
          <w:sz w:val="30"/>
          <w:szCs w:val="30"/>
        </w:rPr>
      </w:pPr>
      <w:r>
        <w:rPr>
          <w:rFonts w:hint="eastAsia" w:eastAsia="方正黑体简体"/>
          <w:sz w:val="30"/>
          <w:szCs w:val="30"/>
        </w:rPr>
        <w:t>第一章</w:t>
      </w:r>
      <w:r>
        <w:rPr>
          <w:rFonts w:eastAsia="方正黑体简体"/>
          <w:sz w:val="30"/>
          <w:szCs w:val="30"/>
        </w:rPr>
        <w:t xml:space="preserve"> 总则</w:t>
      </w:r>
    </w:p>
    <w:p>
      <w:pPr>
        <w:spacing w:line="54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为了规范上海期货交易所（以下简称交易所）燃料油期货相关业务，根据《上海期货交易所交易规则》《上海期货交易所燃料油期货合约》以及相关业务规则，制定本细则。</w:t>
      </w:r>
    </w:p>
    <w:p>
      <w:pPr>
        <w:spacing w:line="54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40" w:lineRule="exact"/>
        <w:jc w:val="center"/>
        <w:rPr>
          <w:rFonts w:eastAsia="黑体"/>
          <w:sz w:val="30"/>
          <w:szCs w:val="30"/>
        </w:rPr>
      </w:pPr>
      <w:r>
        <w:rPr>
          <w:rFonts w:eastAsia="黑体"/>
          <w:sz w:val="30"/>
          <w:szCs w:val="30"/>
        </w:rPr>
        <w:t>第二章 交易业务</w:t>
      </w:r>
    </w:p>
    <w:p>
      <w:pPr>
        <w:spacing w:line="54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燃料油期货合约的交易单位为10吨/手。</w:t>
      </w:r>
    </w:p>
    <w:p>
      <w:pPr>
        <w:spacing w:line="54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燃料油期货合约的报价单位为元（人民币）/吨（交易报价为不含税价格）。</w:t>
      </w:r>
    </w:p>
    <w:p>
      <w:pPr>
        <w:spacing w:line="54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燃料油期货合约的最小变动价位为1元/吨。</w:t>
      </w:r>
    </w:p>
    <w:p>
      <w:pPr>
        <w:spacing w:line="54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燃料油期货合约月份为1～12月。</w:t>
      </w:r>
    </w:p>
    <w:p>
      <w:pPr>
        <w:spacing w:line="54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燃料油期货合约的交易时间为上午9:00～11:30 ，下午1:30～3:00和交易所规定的其他交易时间。</w:t>
      </w:r>
    </w:p>
    <w:p>
      <w:pPr>
        <w:spacing w:line="54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燃料油期货合约的最后交易日为合约月份前一月份的最后一个交易日，交易所可以根据国家法定节假日调整最后交易日。</w:t>
      </w:r>
    </w:p>
    <w:p>
      <w:pPr>
        <w:spacing w:line="54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燃料油期货合约的交易代码为FU。</w:t>
      </w:r>
    </w:p>
    <w:p>
      <w:pPr>
        <w:spacing w:line="540" w:lineRule="exact"/>
        <w:ind w:firstLine="602" w:firstLineChars="200"/>
        <w:rPr>
          <w:rFonts w:eastAsia="方正仿宋简体"/>
          <w:sz w:val="30"/>
          <w:szCs w:val="30"/>
        </w:rPr>
      </w:pPr>
      <w:r>
        <w:rPr>
          <w:rFonts w:eastAsia="方正仿宋简体"/>
          <w:b/>
          <w:sz w:val="30"/>
          <w:szCs w:val="30"/>
        </w:rPr>
        <w:t xml:space="preserve">第十条 </w:t>
      </w:r>
      <w:r>
        <w:rPr>
          <w:rFonts w:eastAsia="方正仿宋简体"/>
          <w:sz w:val="30"/>
          <w:szCs w:val="30"/>
        </w:rPr>
        <w:t>燃料油期货套期保值交易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，所涉的一般月份是指合约挂牌至交割月前第三月的最后一个交易日；所涉的临近交割月份是指交割月前第二月和交割月前第一月</w:t>
      </w:r>
      <w:r>
        <w:rPr>
          <w:rFonts w:hint="eastAsia" w:eastAsia="方正仿宋简体"/>
          <w:sz w:val="30"/>
          <w:szCs w:val="30"/>
        </w:rPr>
        <w:t>。</w:t>
      </w:r>
    </w:p>
    <w:p>
      <w:pPr>
        <w:spacing w:line="54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燃料油期货一般月份套期保值交易持仓额度的，应当在该套期保值所涉合约交割月前第三月的最后一个交易日之前提出，逾期交易所不再受理。按品种方式申请一般月份套期保值交易持仓额度的，按照《上海期货交易所套期保值交易管理办法》相关规定执行。</w:t>
      </w:r>
    </w:p>
    <w:p>
      <w:pPr>
        <w:spacing w:line="540" w:lineRule="exact"/>
        <w:ind w:firstLine="600" w:firstLineChars="200"/>
        <w:rPr>
          <w:rFonts w:eastAsia="方正仿宋简体"/>
          <w:sz w:val="30"/>
          <w:szCs w:val="30"/>
        </w:rPr>
      </w:pPr>
      <w:r>
        <w:rPr>
          <w:rFonts w:hint="eastAsia" w:eastAsia="方正仿宋简体"/>
          <w:bCs/>
          <w:sz w:val="30"/>
          <w:szCs w:val="30"/>
        </w:rPr>
        <w:t>燃料油期货临近交割月份套期保值交易持仓额度的申请应当在该套期保值所涉合约交割月前第三月的第一个交易日至交割月前第二月的最后一个交易日之间提出，</w:t>
      </w:r>
      <w:r>
        <w:rPr>
          <w:rFonts w:eastAsia="方正仿宋简体"/>
          <w:sz w:val="30"/>
          <w:szCs w:val="30"/>
        </w:rPr>
        <w:t>逾期交易所不再受理；燃料油期货临近交割月份套利交易</w:t>
      </w:r>
      <w:r>
        <w:rPr>
          <w:rFonts w:hint="eastAsia" w:eastAsia="方正仿宋简体"/>
          <w:sz w:val="30"/>
          <w:szCs w:val="30"/>
        </w:rPr>
        <w:t>持仓额度</w:t>
      </w:r>
      <w:r>
        <w:rPr>
          <w:rFonts w:eastAsia="方正仿宋简体"/>
          <w:sz w:val="30"/>
          <w:szCs w:val="30"/>
        </w:rPr>
        <w:t>的申请应当在该套利所涉合约交割月前第三月的第一个交易日至交割月前第二月的最后一个交易日之间提出，逾期交易所不再受理。</w:t>
      </w:r>
    </w:p>
    <w:p>
      <w:pPr>
        <w:spacing w:line="54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燃料油期货套期保值交易</w:t>
      </w:r>
      <w:r>
        <w:rPr>
          <w:rFonts w:hint="eastAsia" w:eastAsia="方正仿宋简体"/>
          <w:sz w:val="30"/>
          <w:szCs w:val="30"/>
        </w:rPr>
        <w:t>持仓额度</w:t>
      </w:r>
      <w:r>
        <w:rPr>
          <w:rFonts w:eastAsia="方正仿宋简体"/>
          <w:sz w:val="30"/>
          <w:szCs w:val="30"/>
        </w:rPr>
        <w:t>自交割月前第一月第一交易日起不得重复使用</w:t>
      </w:r>
      <w:r>
        <w:rPr>
          <w:rFonts w:hint="eastAsia" w:eastAsia="方正仿宋简体"/>
          <w:sz w:val="30"/>
          <w:szCs w:val="30"/>
        </w:rPr>
        <w:t>。</w:t>
      </w:r>
    </w:p>
    <w:p>
      <w:pPr>
        <w:spacing w:line="540" w:lineRule="exact"/>
        <w:jc w:val="center"/>
        <w:rPr>
          <w:rFonts w:eastAsia="黑体"/>
          <w:sz w:val="30"/>
          <w:szCs w:val="30"/>
        </w:rPr>
      </w:pPr>
      <w:r>
        <w:rPr>
          <w:rFonts w:eastAsia="黑体"/>
          <w:sz w:val="30"/>
          <w:szCs w:val="30"/>
        </w:rPr>
        <w:t>第三章 交割业务</w:t>
      </w:r>
    </w:p>
    <w:p>
      <w:pPr>
        <w:spacing w:line="540" w:lineRule="exact"/>
        <w:jc w:val="center"/>
        <w:rPr>
          <w:rFonts w:eastAsia="方正仿宋简体"/>
          <w:b/>
          <w:sz w:val="30"/>
          <w:szCs w:val="30"/>
        </w:rPr>
      </w:pPr>
      <w:r>
        <w:rPr>
          <w:rFonts w:eastAsia="方正仿宋简体"/>
          <w:b/>
          <w:sz w:val="30"/>
          <w:szCs w:val="30"/>
        </w:rPr>
        <w:t>第一节 一般规定</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第十三条 </w:t>
      </w:r>
      <w:r>
        <w:rPr>
          <w:rFonts w:eastAsia="方正仿宋简体"/>
          <w:sz w:val="30"/>
          <w:szCs w:val="30"/>
        </w:rPr>
        <w:t>燃料油期货适用期货转现货、仓库交割。</w:t>
      </w:r>
    </w:p>
    <w:p>
      <w:pPr>
        <w:spacing w:line="540" w:lineRule="exact"/>
        <w:ind w:firstLine="600" w:firstLineChars="200"/>
        <w:rPr>
          <w:rFonts w:eastAsia="方正仿宋简体"/>
          <w:sz w:val="30"/>
          <w:szCs w:val="30"/>
        </w:rPr>
      </w:pPr>
      <w:r>
        <w:rPr>
          <w:rFonts w:eastAsia="方正仿宋简体"/>
          <w:sz w:val="30"/>
          <w:szCs w:val="30"/>
        </w:rPr>
        <w:t>燃料油期货实行保税交割。</w:t>
      </w:r>
    </w:p>
    <w:p>
      <w:pPr>
        <w:spacing w:line="540" w:lineRule="exact"/>
        <w:ind w:firstLine="602" w:firstLineChars="200"/>
        <w:rPr>
          <w:rFonts w:eastAsia="方正仿宋简体"/>
          <w:bCs/>
          <w:sz w:val="24"/>
        </w:rPr>
      </w:pPr>
      <w:r>
        <w:rPr>
          <w:rFonts w:eastAsia="方正仿宋简体"/>
          <w:b/>
          <w:sz w:val="30"/>
          <w:szCs w:val="30"/>
        </w:rPr>
        <w:t xml:space="preserve">第十四条 </w:t>
      </w:r>
      <w:r>
        <w:rPr>
          <w:rFonts w:eastAsia="方正仿宋简体"/>
          <w:sz w:val="30"/>
          <w:szCs w:val="30"/>
        </w:rPr>
        <w:t>燃料油期货合约的交割品级详见《上海期货交易所燃料油期货合约》。</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第十五条 </w:t>
      </w:r>
      <w:r>
        <w:rPr>
          <w:rFonts w:eastAsia="方正仿宋简体"/>
          <w:sz w:val="30"/>
          <w:szCs w:val="30"/>
        </w:rPr>
        <w:t>燃料油期货合约的交割单位为10吨。</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第十六条 </w:t>
      </w:r>
      <w:r>
        <w:rPr>
          <w:rFonts w:eastAsia="方正仿宋简体"/>
          <w:sz w:val="30"/>
          <w:szCs w:val="30"/>
        </w:rPr>
        <w:t>燃料油期货合约的交割日期为最后交易日后连续二个工作日。</w:t>
      </w:r>
    </w:p>
    <w:p>
      <w:pPr>
        <w:spacing w:line="540" w:lineRule="exact"/>
        <w:ind w:firstLine="602" w:firstLineChars="200"/>
        <w:rPr>
          <w:rFonts w:eastAsia="方正仿宋简体"/>
          <w:bCs/>
          <w:sz w:val="24"/>
        </w:rPr>
      </w:pPr>
      <w:r>
        <w:rPr>
          <w:rFonts w:eastAsia="方正仿宋简体"/>
          <w:b/>
          <w:color w:val="000000"/>
          <w:kern w:val="0"/>
          <w:sz w:val="30"/>
          <w:szCs w:val="30"/>
        </w:rPr>
        <w:t xml:space="preserve">第十七条 </w:t>
      </w:r>
      <w:r>
        <w:rPr>
          <w:rFonts w:eastAsia="方正仿宋简体"/>
          <w:sz w:val="30"/>
          <w:szCs w:val="30"/>
        </w:rPr>
        <w:t>燃料油期货合约交割结算的基准价为该期货合约最后5个有成交交易日的结算价的算术平均值。</w:t>
      </w:r>
    </w:p>
    <w:p>
      <w:pPr>
        <w:spacing w:line="540" w:lineRule="exact"/>
        <w:ind w:firstLine="602" w:firstLineChars="200"/>
        <w:rPr>
          <w:rFonts w:eastAsia="方正仿宋简体"/>
          <w:bCs/>
          <w:sz w:val="24"/>
        </w:rPr>
      </w:pPr>
      <w:r>
        <w:rPr>
          <w:rFonts w:eastAsia="方正仿宋简体"/>
          <w:b/>
          <w:sz w:val="30"/>
          <w:szCs w:val="30"/>
        </w:rPr>
        <w:t xml:space="preserve">第十八条 </w:t>
      </w:r>
      <w:r>
        <w:rPr>
          <w:rFonts w:eastAsia="方正仿宋简体"/>
          <w:sz w:val="30"/>
          <w:szCs w:val="30"/>
        </w:rPr>
        <w:t>不能交付或者接收交易所规定发票的客户不允许交割燃料油期货。</w:t>
      </w:r>
    </w:p>
    <w:p>
      <w:pPr>
        <w:spacing w:line="540" w:lineRule="exact"/>
        <w:ind w:firstLine="602" w:firstLineChars="200"/>
        <w:rPr>
          <w:rFonts w:eastAsia="方正仿宋简体"/>
          <w:sz w:val="30"/>
          <w:szCs w:val="30"/>
        </w:rPr>
      </w:pPr>
      <w:r>
        <w:rPr>
          <w:rFonts w:eastAsia="方正仿宋简体"/>
          <w:b/>
          <w:bCs/>
          <w:sz w:val="30"/>
          <w:szCs w:val="30"/>
        </w:rPr>
        <w:t>第十九条</w:t>
      </w:r>
      <w:r>
        <w:rPr>
          <w:rFonts w:eastAsia="方正仿宋简体"/>
          <w:sz w:val="30"/>
          <w:szCs w:val="30"/>
        </w:rPr>
        <w:t xml:space="preserve"> 卖方应当在最后交易日后五个工作日内提交符合交易所规定的发票。</w:t>
      </w:r>
    </w:p>
    <w:p>
      <w:pPr>
        <w:spacing w:line="540" w:lineRule="exact"/>
        <w:ind w:firstLine="600" w:firstLineChars="200"/>
        <w:rPr>
          <w:rFonts w:eastAsia="方正仿宋简体"/>
          <w:bCs/>
          <w:sz w:val="24"/>
        </w:rPr>
      </w:pPr>
      <w:r>
        <w:rPr>
          <w:rFonts w:eastAsia="方正仿宋简体"/>
          <w:sz w:val="30"/>
          <w:szCs w:val="30"/>
        </w:rPr>
        <w:t>买卖双方在当日14:00之前办妥保税标准仓单、货款、交易所规定发票等交割事宜的，交易所当日即清退其相应的保证金；当日14:00之后办妥的，交易所在下一交易日结算时清退相应的保证金。</w:t>
      </w:r>
    </w:p>
    <w:p>
      <w:pPr>
        <w:spacing w:line="540" w:lineRule="exact"/>
        <w:ind w:firstLine="602" w:firstLineChars="200"/>
        <w:rPr>
          <w:rFonts w:eastAsia="方正仿宋简体"/>
          <w:b/>
          <w:sz w:val="30"/>
          <w:szCs w:val="30"/>
        </w:rPr>
      </w:pPr>
      <w:r>
        <w:rPr>
          <w:rFonts w:eastAsia="方正仿宋简体"/>
          <w:b/>
          <w:sz w:val="30"/>
          <w:szCs w:val="30"/>
        </w:rPr>
        <w:t xml:space="preserve">第二十条 </w:t>
      </w:r>
      <w:r>
        <w:rPr>
          <w:rFonts w:eastAsia="方正仿宋简体"/>
          <w:sz w:val="30"/>
          <w:szCs w:val="30"/>
        </w:rPr>
        <w:t>交割地点：交易所燃料油交割仓库，由交易所另行公告。</w:t>
      </w:r>
    </w:p>
    <w:p>
      <w:pPr>
        <w:spacing w:line="540" w:lineRule="exact"/>
        <w:ind w:firstLine="2861" w:firstLineChars="950"/>
        <w:rPr>
          <w:rFonts w:eastAsia="方正仿宋简体"/>
          <w:b/>
          <w:sz w:val="30"/>
          <w:szCs w:val="30"/>
        </w:rPr>
      </w:pPr>
      <w:r>
        <w:rPr>
          <w:rFonts w:eastAsia="方正仿宋简体"/>
          <w:b/>
          <w:sz w:val="30"/>
          <w:szCs w:val="30"/>
        </w:rPr>
        <w:t>第二节 交割流程</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第二十一条 </w:t>
      </w:r>
      <w:r>
        <w:rPr>
          <w:rFonts w:eastAsia="方正仿宋简体"/>
          <w:sz w:val="30"/>
          <w:szCs w:val="30"/>
        </w:rPr>
        <w:t>燃料油入出库以交易所指定检验机构（由交易所另行公告）检验为准，取样方法采用GB/T4756，试验方法参见燃料油期货合约。</w:t>
      </w:r>
    </w:p>
    <w:p>
      <w:pPr>
        <w:spacing w:line="540" w:lineRule="exact"/>
        <w:ind w:firstLine="600" w:firstLineChars="200"/>
        <w:rPr>
          <w:rFonts w:eastAsia="方正仿宋简体"/>
          <w:sz w:val="30"/>
          <w:szCs w:val="30"/>
        </w:rPr>
      </w:pPr>
      <w:r>
        <w:rPr>
          <w:rFonts w:eastAsia="方正仿宋简体"/>
          <w:sz w:val="30"/>
          <w:szCs w:val="30"/>
        </w:rPr>
        <w:t>燃料油入库时检验机构由卖方在指定检验机构中选择，出库时检验机构由买方在指定检验机构中选择。燃料油交割仓库若对买方或者卖方选择的检验机构有异议，可以与对方协商重新选择指定检验机构。若协商不成，可以向交易所提出申请，由交易所确定。买方、卖方和燃料油交割仓库应当配合指定检验机构的检验工作。入库时的检验费用由卖方承担，出库时的检验费用由买方承担，本细则另有规定的除外。</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第二十二条 </w:t>
      </w:r>
      <w:r>
        <w:rPr>
          <w:rFonts w:eastAsia="方正仿宋简体"/>
          <w:sz w:val="30"/>
          <w:szCs w:val="30"/>
        </w:rPr>
        <w:t>货主在办理入库申报前，应当妥善协调码头、港口、管道运输、海关、商品检验等相关机构，并应当在燃料油入库的15天前向交易所办理入库申报。客户应当委托期货公司会员办理入库申报（交割预报）手续。</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第二十三条 </w:t>
      </w:r>
      <w:r>
        <w:rPr>
          <w:rFonts w:eastAsia="方正仿宋简体"/>
          <w:sz w:val="30"/>
          <w:szCs w:val="30"/>
        </w:rPr>
        <w:t>交易所在库容允许情况下，考虑货主意愿，在收到符合规定的入库申报资料之日起3个工作日内决定是否批准入库。经交易所批准入库的，货主应当在入库有效期内向燃料油交割仓库发货。入库有效期为交易所批准之日起15天。交易所可以视情况，调整入库有效期。</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第二十四条 </w:t>
      </w:r>
      <w:r>
        <w:rPr>
          <w:rFonts w:eastAsia="方正仿宋简体"/>
          <w:sz w:val="30"/>
          <w:szCs w:val="30"/>
        </w:rPr>
        <w:t>货主提交的入库申报资料应当属实，并交纳30元/吨的申报押金，申报押金由交易所从会员结算准备金账户中划转。</w:t>
      </w:r>
    </w:p>
    <w:p>
      <w:pPr>
        <w:spacing w:line="540" w:lineRule="exact"/>
        <w:ind w:firstLine="600" w:firstLineChars="200"/>
        <w:rPr>
          <w:rFonts w:eastAsia="方正仿宋简体"/>
          <w:sz w:val="30"/>
          <w:szCs w:val="30"/>
        </w:rPr>
      </w:pPr>
      <w:r>
        <w:rPr>
          <w:rFonts w:eastAsia="方正仿宋简体"/>
          <w:sz w:val="30"/>
          <w:szCs w:val="30"/>
        </w:rPr>
        <w:t>货主办理完入库手续并取得保税标准仓单后，交易所将申报押金清退至会员结算准备金账户中。入库申报数量部分执行的，差额部分的申报押金应当补偿给燃料油交割仓库；入库申报数量全部没有执行的，申报押金应当全部补偿给燃料油交割仓库。实际入库量在期货合约数量溢短允许范围内的，入库申报押金全部返还。</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第二十五条 </w:t>
      </w:r>
      <w:r>
        <w:rPr>
          <w:rFonts w:eastAsia="方正仿宋简体"/>
          <w:sz w:val="30"/>
          <w:szCs w:val="30"/>
        </w:rPr>
        <w:t>货主应当在燃料油卸货入库前，委托指定检验机构按照期货合约规定的标准和方法对油品的密度、运动粘度、硫含量、水分、闪点等5个指标进行品质预检，预检合格后再行卸货。</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第二十六条 </w:t>
      </w:r>
      <w:r>
        <w:rPr>
          <w:rFonts w:eastAsia="方正仿宋简体"/>
          <w:sz w:val="30"/>
          <w:szCs w:val="30"/>
        </w:rPr>
        <w:t>燃料油运抵燃料油交割仓库后，燃料油交割仓库应当对到货以及相关单证进行验核。</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第二十七条 </w:t>
      </w:r>
      <w:r>
        <w:rPr>
          <w:rFonts w:eastAsia="方正仿宋简体"/>
          <w:sz w:val="30"/>
          <w:szCs w:val="30"/>
        </w:rPr>
        <w:t>燃料油入库时，货主应当委托指定检验机构进行检验。检验分为质量检验和重量检验两部分。</w:t>
      </w:r>
    </w:p>
    <w:p>
      <w:pPr>
        <w:spacing w:line="540" w:lineRule="exact"/>
        <w:ind w:firstLine="600" w:firstLineChars="200"/>
        <w:rPr>
          <w:rFonts w:eastAsia="方正仿宋简体"/>
          <w:sz w:val="30"/>
          <w:szCs w:val="30"/>
        </w:rPr>
      </w:pPr>
      <w:r>
        <w:rPr>
          <w:rFonts w:eastAsia="方正仿宋简体"/>
          <w:sz w:val="30"/>
          <w:szCs w:val="30"/>
        </w:rPr>
        <w:t>（一）入库质量检验</w:t>
      </w:r>
    </w:p>
    <w:p>
      <w:pPr>
        <w:spacing w:line="540" w:lineRule="exact"/>
        <w:ind w:firstLine="600" w:firstLineChars="200"/>
        <w:rPr>
          <w:rFonts w:eastAsia="方正仿宋简体"/>
          <w:sz w:val="30"/>
          <w:szCs w:val="30"/>
        </w:rPr>
      </w:pPr>
      <w:r>
        <w:rPr>
          <w:rFonts w:eastAsia="方正仿宋简体"/>
          <w:sz w:val="30"/>
          <w:szCs w:val="30"/>
        </w:rPr>
        <w:t>燃料油入库前，指定检验机构应当对船舱或者其他运输装载容器内的燃料油（A样）和燃料油交割仓库内原有燃料油（B样）取样并封样，A样分A1样和A2样，其中A1样指入库燃料油单独船舱或者单一装载容器样品（多个），A2样指A1样之配比混合样品。燃料油入库后，指定检验机构对混合后燃料油交割仓库内的燃料油（C样）再次取样、化验并出具检验报告。如C样检测合格，表示货主交付的燃料油质量合格，货主所交付燃料油的质检报告为C样检验报告。</w:t>
      </w:r>
    </w:p>
    <w:p>
      <w:pPr>
        <w:spacing w:line="540" w:lineRule="exact"/>
        <w:ind w:firstLine="600" w:firstLineChars="200"/>
        <w:rPr>
          <w:rFonts w:eastAsia="方正仿宋简体"/>
          <w:sz w:val="30"/>
          <w:szCs w:val="30"/>
        </w:rPr>
      </w:pPr>
      <w:r>
        <w:rPr>
          <w:rFonts w:eastAsia="方正仿宋简体"/>
          <w:sz w:val="30"/>
          <w:szCs w:val="30"/>
        </w:rPr>
        <w:t>如C样检测不合格，指定检验机构应当对A样和B样进行化验，结果分以下四种情况：</w:t>
      </w:r>
    </w:p>
    <w:p>
      <w:pPr>
        <w:spacing w:line="540" w:lineRule="exact"/>
        <w:ind w:firstLine="600" w:firstLineChars="200"/>
        <w:rPr>
          <w:rFonts w:eastAsia="方正仿宋简体"/>
          <w:sz w:val="30"/>
          <w:szCs w:val="30"/>
        </w:rPr>
      </w:pPr>
      <w:r>
        <w:rPr>
          <w:rFonts w:eastAsia="方正仿宋简体"/>
          <w:sz w:val="30"/>
          <w:szCs w:val="30"/>
        </w:rPr>
        <w:t>（1）如A样合格、B样不合格，表示货主交付的燃料油质量合格，燃料油交割仓库对混合后的库内燃料油质量不合格承担责任，A、B样的检验费用由燃料油交割仓库承担；</w:t>
      </w:r>
    </w:p>
    <w:p>
      <w:pPr>
        <w:spacing w:line="540" w:lineRule="exact"/>
        <w:ind w:firstLine="600" w:firstLineChars="200"/>
        <w:rPr>
          <w:rFonts w:eastAsia="方正仿宋简体"/>
          <w:sz w:val="30"/>
          <w:szCs w:val="30"/>
        </w:rPr>
      </w:pPr>
      <w:r>
        <w:rPr>
          <w:rFonts w:eastAsia="方正仿宋简体"/>
          <w:sz w:val="30"/>
          <w:szCs w:val="30"/>
        </w:rPr>
        <w:t>（2）如A样不合格、B样合格，表示货主交付的燃料油质量不合格，货主对混合后的库内燃料油质量不合格承担责任，A、B样的检验费用由货主承担；</w:t>
      </w:r>
    </w:p>
    <w:p>
      <w:pPr>
        <w:spacing w:line="540" w:lineRule="exact"/>
        <w:ind w:firstLine="600" w:firstLineChars="200"/>
        <w:rPr>
          <w:rFonts w:eastAsia="方正仿宋简体"/>
          <w:sz w:val="30"/>
          <w:szCs w:val="30"/>
        </w:rPr>
      </w:pPr>
      <w:r>
        <w:rPr>
          <w:rFonts w:eastAsia="方正仿宋简体"/>
          <w:sz w:val="30"/>
          <w:szCs w:val="30"/>
        </w:rPr>
        <w:t>（3）如A样合格、B样合格，表示货主交付的燃料油质量合格，燃料油交割仓库对混合后的库内燃料油质量不合格承担责任，A、B样的检验费用由燃料油交割仓库承担；</w:t>
      </w:r>
    </w:p>
    <w:p>
      <w:pPr>
        <w:spacing w:line="540" w:lineRule="exact"/>
        <w:ind w:firstLine="600" w:firstLineChars="200"/>
        <w:rPr>
          <w:rFonts w:eastAsia="方正仿宋简体"/>
          <w:sz w:val="30"/>
          <w:szCs w:val="30"/>
        </w:rPr>
      </w:pPr>
      <w:r>
        <w:rPr>
          <w:rFonts w:eastAsia="方正仿宋简体"/>
          <w:sz w:val="30"/>
          <w:szCs w:val="30"/>
        </w:rPr>
        <w:t>（4）如A样和B 样均不合格，表示货主交付的燃料油和库内原有燃料油质量均不合格，货主和燃料油交割仓库对混合后的库内燃料油质量不合格共同承担责任，A样的检验费用由货主承担，B样的检验费用由燃料油交割仓库承担。</w:t>
      </w:r>
    </w:p>
    <w:p>
      <w:pPr>
        <w:spacing w:line="540" w:lineRule="exact"/>
        <w:ind w:firstLine="600" w:firstLineChars="200"/>
        <w:rPr>
          <w:rFonts w:eastAsia="方正仿宋简体"/>
          <w:sz w:val="30"/>
          <w:szCs w:val="30"/>
        </w:rPr>
      </w:pPr>
      <w:r>
        <w:rPr>
          <w:rFonts w:eastAsia="方正仿宋简体"/>
          <w:sz w:val="30"/>
          <w:szCs w:val="30"/>
        </w:rPr>
        <w:t>在以上四种情况下，A1样或者A2样中其中有一个样检验不合格，即认为A样不合格，货主所交付燃料油的质检报告均为A 样检验报告。</w:t>
      </w:r>
    </w:p>
    <w:p>
      <w:pPr>
        <w:spacing w:line="540" w:lineRule="exact"/>
        <w:ind w:firstLine="600" w:firstLineChars="200"/>
        <w:rPr>
          <w:rFonts w:eastAsia="方正仿宋简体"/>
          <w:sz w:val="30"/>
          <w:szCs w:val="30"/>
        </w:rPr>
      </w:pPr>
      <w:r>
        <w:rPr>
          <w:rFonts w:eastAsia="方正仿宋简体"/>
          <w:sz w:val="30"/>
          <w:szCs w:val="30"/>
        </w:rPr>
        <w:t>（二）入库重量检验，以燃料油交割仓库岸罐计量为准。</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第二十八条 </w:t>
      </w:r>
      <w:r>
        <w:rPr>
          <w:rFonts w:eastAsia="方正仿宋简体"/>
          <w:sz w:val="30"/>
          <w:szCs w:val="30"/>
        </w:rPr>
        <w:t>货主应当确保所交割燃料油达到交易所规定的质量标准。因货主交割燃料油质量不合格而导致整个油罐内燃料油变质（达不到交易所规定的质量标准）的，货主应当承担全部责任。</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第二十九条 </w:t>
      </w:r>
      <w:r>
        <w:rPr>
          <w:rFonts w:eastAsia="方正仿宋简体"/>
          <w:sz w:val="30"/>
          <w:szCs w:val="30"/>
        </w:rPr>
        <w:t>燃料油入库时，货主应当到燃料油交割仓库监收；货主不到燃料油交割仓库监收的，视为货主同意指定检验机构的检验结果。</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第三十条 </w:t>
      </w:r>
      <w:r>
        <w:rPr>
          <w:rFonts w:eastAsia="方正仿宋简体"/>
          <w:sz w:val="30"/>
          <w:szCs w:val="30"/>
        </w:rPr>
        <w:t>货主应当提供指定检验机构出具的检验证书、提单、装运港商检证书、海关入库核准单证、保税调和船用燃料油商检证书等相关交割商品必备单证的原件或者复印件。交易所核实验证后留存复印件。</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第三十一条 </w:t>
      </w:r>
      <w:r>
        <w:rPr>
          <w:rFonts w:eastAsia="方正仿宋简体"/>
          <w:sz w:val="30"/>
          <w:szCs w:val="30"/>
        </w:rPr>
        <w:t>入库完毕并验收合格后，会员持交割商品必备单证到交易所办理审批手续。交易所批准后，通知燃料油交割仓库在标准仓单管理系统中签发保税标准仓单。</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第三十二条 </w:t>
      </w:r>
      <w:r>
        <w:rPr>
          <w:rFonts w:eastAsia="方正仿宋简体"/>
          <w:sz w:val="30"/>
          <w:szCs w:val="30"/>
        </w:rPr>
        <w:t>燃料油保税标准仓单有效期限为保税标准仓单生效年份的第二年的最后一个交割月份，超过期限的转作现货。</w:t>
      </w:r>
    </w:p>
    <w:p>
      <w:pPr>
        <w:spacing w:line="540" w:lineRule="exact"/>
        <w:ind w:firstLine="600" w:firstLineChars="200"/>
        <w:rPr>
          <w:rFonts w:eastAsia="方正仿宋简体"/>
          <w:sz w:val="30"/>
          <w:szCs w:val="30"/>
        </w:rPr>
      </w:pPr>
      <w:r>
        <w:rPr>
          <w:rFonts w:eastAsia="方正仿宋简体"/>
          <w:sz w:val="30"/>
          <w:szCs w:val="30"/>
        </w:rPr>
        <w:t>燃料油交割仓库应当将超过保税标准仓单有效期限的燃料油转入现货油罐。</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第三十三条 </w:t>
      </w:r>
      <w:r>
        <w:rPr>
          <w:rFonts w:eastAsia="方正仿宋简体"/>
          <w:sz w:val="30"/>
          <w:szCs w:val="30"/>
        </w:rPr>
        <w:t>燃料油入出库的最小量为1000吨。货主与燃料油交割仓库对出库数量另有约定的除外。</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第三十四条 </w:t>
      </w:r>
      <w:r>
        <w:rPr>
          <w:rFonts w:eastAsia="方正仿宋简体"/>
          <w:sz w:val="30"/>
          <w:szCs w:val="30"/>
        </w:rPr>
        <w:t>提货</w:t>
      </w:r>
    </w:p>
    <w:p>
      <w:pPr>
        <w:spacing w:line="540" w:lineRule="exact"/>
        <w:ind w:firstLine="600" w:firstLineChars="200"/>
        <w:rPr>
          <w:rFonts w:eastAsia="方正仿宋简体"/>
          <w:sz w:val="30"/>
          <w:szCs w:val="30"/>
        </w:rPr>
      </w:pPr>
      <w:r>
        <w:rPr>
          <w:rFonts w:eastAsia="方正仿宋简体"/>
          <w:sz w:val="30"/>
          <w:szCs w:val="30"/>
        </w:rPr>
        <w:t>（一）保税标准仓单合法持有人提货时，燃料油交割仓库在对保税标准仓单审核无误后予以发货。货主可以自行到库提货或者委托燃料油交割仓库提货并发运。</w:t>
      </w:r>
    </w:p>
    <w:p>
      <w:pPr>
        <w:spacing w:line="540" w:lineRule="exact"/>
        <w:ind w:firstLine="600" w:firstLineChars="200"/>
        <w:rPr>
          <w:rFonts w:eastAsia="方正仿宋简体"/>
          <w:sz w:val="30"/>
          <w:szCs w:val="30"/>
        </w:rPr>
      </w:pPr>
      <w:r>
        <w:rPr>
          <w:rFonts w:eastAsia="方正仿宋简体"/>
          <w:sz w:val="30"/>
          <w:szCs w:val="30"/>
        </w:rPr>
        <w:t>（二）保税标准仓单合法持有人提货时，应当委托指定检验机构对交割燃料油的质量和重量进行现场检验。燃料油出库的重量检验以燃料油交割仓库岸罐计量为准。质量检验以油罐内取样为准。样品应当分为A、B两份，A样用于化验，B样封存。</w:t>
      </w:r>
    </w:p>
    <w:p>
      <w:pPr>
        <w:spacing w:line="540" w:lineRule="exact"/>
        <w:ind w:firstLine="600" w:firstLineChars="200"/>
        <w:rPr>
          <w:rFonts w:eastAsia="方正仿宋简体"/>
          <w:sz w:val="30"/>
          <w:szCs w:val="30"/>
        </w:rPr>
      </w:pPr>
      <w:r>
        <w:rPr>
          <w:rFonts w:eastAsia="方正仿宋简体"/>
          <w:sz w:val="30"/>
          <w:szCs w:val="30"/>
        </w:rPr>
        <w:t>未委托指定检验机构进行检验的，视为认可燃料油交割仓库发货无误，燃料油交割仓库和交易所不再受理对交割燃料油有异议的申请。</w:t>
      </w:r>
    </w:p>
    <w:p>
      <w:pPr>
        <w:spacing w:line="540" w:lineRule="exact"/>
        <w:ind w:firstLine="600" w:firstLineChars="200"/>
        <w:rPr>
          <w:rFonts w:eastAsia="方正仿宋简体"/>
          <w:sz w:val="30"/>
          <w:szCs w:val="30"/>
        </w:rPr>
      </w:pPr>
      <w:r>
        <w:rPr>
          <w:rFonts w:eastAsia="方正仿宋简体"/>
          <w:sz w:val="30"/>
          <w:szCs w:val="30"/>
        </w:rPr>
        <w:t>（三）保税标准仓单合法持有人对交割燃料油的质量有异议的，应当在指定检验机构出具检验报告后10个工作日内，向燃料油交割仓库提出书面申请，并应当同时提供指定检验机构出具的质量鉴定结论。逾期未提出申请的，视为对交割燃料油无异议，燃料油交割仓库和交易所不再受理对交割燃料油有异议的申请。</w:t>
      </w:r>
    </w:p>
    <w:p>
      <w:pPr>
        <w:spacing w:line="540" w:lineRule="exact"/>
        <w:ind w:firstLine="600" w:firstLineChars="200"/>
        <w:rPr>
          <w:rFonts w:eastAsia="方正仿宋简体"/>
          <w:sz w:val="30"/>
          <w:szCs w:val="30"/>
        </w:rPr>
      </w:pPr>
      <w:r>
        <w:rPr>
          <w:rFonts w:eastAsia="方正仿宋简体"/>
          <w:sz w:val="30"/>
          <w:szCs w:val="30"/>
        </w:rPr>
        <w:t>（四）燃料油交割仓库发货时，应当及时填制保税标准仓单出库确认单（一式二份，货主和燃料油交割仓库各执一份），并妥善保管备查。</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第三十五条 </w:t>
      </w:r>
      <w:r>
        <w:rPr>
          <w:rFonts w:eastAsia="方正仿宋简体"/>
          <w:sz w:val="30"/>
          <w:szCs w:val="30"/>
        </w:rPr>
        <w:t>损耗补偿和溢短</w:t>
      </w:r>
    </w:p>
    <w:p>
      <w:pPr>
        <w:spacing w:line="540" w:lineRule="exact"/>
        <w:ind w:firstLine="600" w:firstLineChars="200"/>
        <w:rPr>
          <w:rFonts w:eastAsia="方正仿宋简体"/>
          <w:sz w:val="30"/>
          <w:szCs w:val="30"/>
        </w:rPr>
      </w:pPr>
      <w:r>
        <w:rPr>
          <w:rFonts w:eastAsia="方正仿宋简体"/>
          <w:sz w:val="30"/>
          <w:szCs w:val="30"/>
        </w:rPr>
        <w:t>（一）损耗补偿</w:t>
      </w:r>
    </w:p>
    <w:p>
      <w:pPr>
        <w:spacing w:line="540" w:lineRule="exact"/>
        <w:ind w:firstLine="600" w:firstLineChars="200"/>
        <w:rPr>
          <w:rFonts w:eastAsia="方正仿宋简体"/>
          <w:sz w:val="30"/>
          <w:szCs w:val="30"/>
        </w:rPr>
      </w:pPr>
      <w:r>
        <w:rPr>
          <w:rFonts w:eastAsia="方正仿宋简体"/>
          <w:sz w:val="30"/>
          <w:szCs w:val="30"/>
        </w:rPr>
        <w:t>燃料油的入出库损耗补偿按照下述公式由入出库货主补偿燃料油交割仓库，并在指定检验机构出具检验报告后3个工作日内由货主与燃料油交割仓库进行结算：</w:t>
      </w:r>
    </w:p>
    <w:p>
      <w:pPr>
        <w:spacing w:line="540" w:lineRule="exact"/>
        <w:ind w:firstLine="600" w:firstLineChars="200"/>
        <w:rPr>
          <w:rFonts w:eastAsia="方正仿宋简体"/>
          <w:sz w:val="30"/>
          <w:szCs w:val="30"/>
        </w:rPr>
      </w:pPr>
      <w:r>
        <w:rPr>
          <w:rFonts w:eastAsia="方正仿宋简体"/>
          <w:sz w:val="30"/>
          <w:szCs w:val="30"/>
        </w:rPr>
        <w:t>入库损耗补偿</w:t>
      </w:r>
      <w:r>
        <w:rPr>
          <w:rFonts w:hint="eastAsia" w:eastAsia="方正仿宋简体"/>
          <w:sz w:val="30"/>
          <w:szCs w:val="30"/>
        </w:rPr>
        <w:t>=</w:t>
      </w:r>
      <w:r>
        <w:rPr>
          <w:rFonts w:eastAsia="方正仿宋简体"/>
          <w:sz w:val="30"/>
          <w:szCs w:val="30"/>
        </w:rPr>
        <w:t>燃料油保税标准仓单签发数量×0.6‰×(燃料油入库完成前一交易日交易所最近月份燃料油期货合约的结算价+交割升贴水)</w:t>
      </w:r>
    </w:p>
    <w:p>
      <w:pPr>
        <w:spacing w:line="540" w:lineRule="exact"/>
        <w:ind w:firstLine="600" w:firstLineChars="200"/>
        <w:rPr>
          <w:rFonts w:eastAsia="方正仿宋简体"/>
          <w:sz w:val="30"/>
          <w:szCs w:val="30"/>
        </w:rPr>
      </w:pPr>
      <w:r>
        <w:rPr>
          <w:rFonts w:eastAsia="方正仿宋简体"/>
          <w:sz w:val="30"/>
          <w:szCs w:val="30"/>
        </w:rPr>
        <w:t>出库损耗补偿</w:t>
      </w:r>
      <w:r>
        <w:rPr>
          <w:rFonts w:hint="eastAsia" w:eastAsia="方正仿宋简体"/>
          <w:sz w:val="30"/>
          <w:szCs w:val="30"/>
        </w:rPr>
        <w:t>=</w:t>
      </w:r>
      <w:r>
        <w:rPr>
          <w:rFonts w:eastAsia="方正仿宋简体"/>
          <w:sz w:val="30"/>
          <w:szCs w:val="30"/>
        </w:rPr>
        <w:t>燃料油保税标准仓单注销数量×0.6‰×(燃料油出库完成前一交易日交易所最近月份燃料油期货合约的结算价+交割升贴水)</w:t>
      </w:r>
    </w:p>
    <w:p>
      <w:pPr>
        <w:spacing w:line="540" w:lineRule="exact"/>
        <w:ind w:firstLine="600" w:firstLineChars="200"/>
        <w:rPr>
          <w:rFonts w:eastAsia="方正仿宋简体"/>
          <w:sz w:val="30"/>
          <w:szCs w:val="30"/>
        </w:rPr>
      </w:pPr>
      <w:r>
        <w:rPr>
          <w:rFonts w:eastAsia="方正仿宋简体"/>
          <w:sz w:val="30"/>
          <w:szCs w:val="30"/>
        </w:rPr>
        <w:t>（二）溢短</w:t>
      </w:r>
    </w:p>
    <w:p>
      <w:pPr>
        <w:spacing w:line="540" w:lineRule="exact"/>
        <w:ind w:firstLine="600" w:firstLineChars="200"/>
        <w:rPr>
          <w:rFonts w:eastAsia="方正仿宋简体"/>
          <w:sz w:val="30"/>
          <w:szCs w:val="30"/>
        </w:rPr>
      </w:pPr>
      <w:r>
        <w:rPr>
          <w:rFonts w:eastAsia="方正仿宋简体"/>
          <w:sz w:val="30"/>
          <w:szCs w:val="30"/>
        </w:rPr>
        <w:t>燃料油入出库时的溢短数量是指入库时或者出库时指定检验机构出具的重量证书与保税标准仓单签发或者注销重量的差值。入出库时燃料油溢短重量不超过±3%，在指定检验机构出具检验报告后的3个工作日内，货主按照下述公式直接与燃料油交割仓库进行溢短结算。</w:t>
      </w:r>
    </w:p>
    <w:p>
      <w:pPr>
        <w:spacing w:line="540" w:lineRule="exact"/>
        <w:ind w:firstLine="600" w:firstLineChars="200"/>
        <w:rPr>
          <w:rFonts w:eastAsia="方正仿宋简体"/>
          <w:sz w:val="30"/>
          <w:szCs w:val="30"/>
        </w:rPr>
      </w:pPr>
      <w:r>
        <w:rPr>
          <w:rFonts w:eastAsia="方正仿宋简体"/>
          <w:sz w:val="30"/>
          <w:szCs w:val="30"/>
        </w:rPr>
        <w:t>入出库溢短货款</w:t>
      </w:r>
      <w:r>
        <w:rPr>
          <w:rFonts w:hint="eastAsia" w:eastAsia="方正仿宋简体"/>
          <w:sz w:val="30"/>
          <w:szCs w:val="30"/>
        </w:rPr>
        <w:t>=</w:t>
      </w:r>
      <w:r>
        <w:rPr>
          <w:rFonts w:eastAsia="方正仿宋简体"/>
          <w:sz w:val="30"/>
          <w:szCs w:val="30"/>
        </w:rPr>
        <w:t>允许范围内的燃料油溢短数量×（燃料油入出库完成前一交易日交易所最近月份燃料油期货合约的结算价+交割升贴水）</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第三十六条 </w:t>
      </w:r>
      <w:r>
        <w:rPr>
          <w:rFonts w:eastAsia="方正仿宋简体"/>
          <w:sz w:val="30"/>
          <w:szCs w:val="30"/>
        </w:rPr>
        <w:t>燃料油保税标准仓单持有人报关完税价格的计算审定基础为保税交割结算价。到期合约保税交割结算价的计算公式为：保税交割结算价＝交割结算价</w:t>
      </w:r>
    </w:p>
    <w:p>
      <w:pPr>
        <w:spacing w:line="540" w:lineRule="exact"/>
        <w:ind w:firstLine="600" w:firstLineChars="200"/>
        <w:rPr>
          <w:rFonts w:eastAsia="方正仿宋简体"/>
          <w:sz w:val="30"/>
          <w:szCs w:val="30"/>
        </w:rPr>
      </w:pPr>
      <w:r>
        <w:rPr>
          <w:rFonts w:eastAsia="方正仿宋简体"/>
          <w:sz w:val="30"/>
          <w:szCs w:val="30"/>
        </w:rPr>
        <w:t>燃料油保税标准仓单交割货款的计算公式为：</w:t>
      </w:r>
    </w:p>
    <w:p>
      <w:pPr>
        <w:spacing w:line="540" w:lineRule="exact"/>
        <w:ind w:firstLine="600" w:firstLineChars="200"/>
        <w:rPr>
          <w:rFonts w:eastAsia="方正仿宋简体"/>
          <w:sz w:val="30"/>
          <w:szCs w:val="30"/>
        </w:rPr>
      </w:pPr>
      <w:r>
        <w:rPr>
          <w:rFonts w:eastAsia="方正仿宋简体"/>
          <w:sz w:val="30"/>
          <w:szCs w:val="30"/>
        </w:rPr>
        <w:t>到期合约交割货款＝保税交割结算价×交割数量</w:t>
      </w:r>
    </w:p>
    <w:p>
      <w:pPr>
        <w:spacing w:line="540" w:lineRule="exact"/>
        <w:ind w:firstLine="600" w:firstLineChars="200"/>
        <w:rPr>
          <w:rFonts w:eastAsia="方正仿宋简体"/>
          <w:sz w:val="30"/>
          <w:szCs w:val="30"/>
        </w:rPr>
      </w:pPr>
      <w:r>
        <w:rPr>
          <w:rFonts w:eastAsia="方正仿宋简体"/>
          <w:sz w:val="30"/>
          <w:szCs w:val="30"/>
        </w:rPr>
        <w:t>期转现交割货款＝期转现保税交割结算价×交割数量</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第三十七条 </w:t>
      </w:r>
      <w:r>
        <w:rPr>
          <w:rFonts w:eastAsia="方正仿宋简体"/>
          <w:sz w:val="30"/>
          <w:szCs w:val="30"/>
        </w:rPr>
        <w:t>在交割地进行的实物交收，运输由买方、卖方自行解决。</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第三十八条 </w:t>
      </w:r>
      <w:r>
        <w:rPr>
          <w:rFonts w:eastAsia="方正仿宋简体"/>
          <w:sz w:val="30"/>
          <w:szCs w:val="30"/>
        </w:rPr>
        <w:t>燃料油自验收合格入库后至出库期间，燃料油交割仓库对所储存燃料油的质量、安全等承担全部责任。</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第三十九条 </w:t>
      </w:r>
      <w:r>
        <w:rPr>
          <w:rFonts w:eastAsia="方正仿宋简体"/>
          <w:sz w:val="30"/>
          <w:szCs w:val="30"/>
        </w:rPr>
        <w:t>燃料油交割仓库的入出库作业不得影响燃料油的品质和重量。在燃料油入出库作业开始以前及作业完成后，燃料油交割仓库应当确保输油管线内的油液充满或者扫空，确保管线内油品品质不影响装卸油品品质，确保管线内油品的充分流动性。入出库温度应当不低于35摄氏度。</w:t>
      </w:r>
    </w:p>
    <w:p>
      <w:pPr>
        <w:spacing w:line="540" w:lineRule="exact"/>
        <w:ind w:firstLine="602" w:firstLineChars="200"/>
        <w:rPr>
          <w:rFonts w:eastAsia="方正仿宋简体"/>
          <w:b/>
          <w:sz w:val="30"/>
          <w:szCs w:val="30"/>
          <w:shd w:val="pct10" w:color="auto" w:fill="FFFFFF"/>
        </w:rPr>
      </w:pPr>
      <w:r>
        <w:rPr>
          <w:rFonts w:eastAsia="方正仿宋简体"/>
          <w:b/>
          <w:color w:val="000000"/>
          <w:kern w:val="0"/>
          <w:sz w:val="30"/>
          <w:szCs w:val="30"/>
        </w:rPr>
        <w:t>第四十条</w:t>
      </w:r>
      <w:r>
        <w:rPr>
          <w:rFonts w:eastAsia="方正仿宋简体"/>
          <w:sz w:val="30"/>
          <w:szCs w:val="30"/>
        </w:rPr>
        <w:t xml:space="preserve"> 买方或者卖方与燃料油交割仓库之间产生交割纠纷，首先由双方自行协商解决，协商不成的，应当在发生交割纠纷后10日内以书面形式提请交易所调解，逾期交易所不再受理调解申请。调解不成的，可以根据仲裁协议向仲裁机构申请仲裁；没有仲裁协议的或者仲裁协议无效的，可以向人民法院起诉。</w:t>
      </w:r>
    </w:p>
    <w:p>
      <w:pPr>
        <w:spacing w:line="540" w:lineRule="exact"/>
        <w:jc w:val="center"/>
        <w:rPr>
          <w:rFonts w:eastAsia="方正仿宋简体"/>
          <w:b/>
          <w:sz w:val="30"/>
          <w:szCs w:val="30"/>
          <w:shd w:val="pct10" w:color="auto" w:fill="FFFFFF"/>
        </w:rPr>
      </w:pPr>
      <w:r>
        <w:rPr>
          <w:rFonts w:eastAsia="方正仿宋简体"/>
          <w:b/>
          <w:sz w:val="30"/>
          <w:szCs w:val="30"/>
        </w:rPr>
        <w:t>第三节 期货转现货</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第四十一条 </w:t>
      </w:r>
      <w:r>
        <w:rPr>
          <w:rFonts w:eastAsia="方正仿宋简体"/>
          <w:color w:val="000000"/>
          <w:kern w:val="0"/>
          <w:sz w:val="30"/>
          <w:szCs w:val="30"/>
        </w:rPr>
        <w:t>燃料油期转现是指持有方向相反的同一月份合约的会员（客户）协商一致并向交易所提出申请，获得交易所批准后，分别将各自持有的合约按交易所规定的价格由交易所代为平仓，同时按双方协议价格进行与期货合约标的物数量相当、品种相同或者相近、方向相同的仓单或者其他提货凭证的交换行为。</w:t>
      </w:r>
    </w:p>
    <w:p>
      <w:pPr>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第四十二条</w:t>
      </w:r>
      <w:r>
        <w:rPr>
          <w:rFonts w:eastAsia="方正仿宋简体"/>
          <w:color w:val="000000"/>
          <w:kern w:val="0"/>
          <w:sz w:val="30"/>
          <w:szCs w:val="30"/>
        </w:rPr>
        <w:t xml:space="preserve"> 期转现的交割结算价为买方和卖方达成的协议价。使用保税标准仓单并通过交易所结算的，期转现保税交割结算价的计算公式为：</w:t>
      </w:r>
    </w:p>
    <w:p>
      <w:pPr>
        <w:spacing w:line="540" w:lineRule="exact"/>
        <w:ind w:firstLine="600" w:firstLineChars="200"/>
        <w:rPr>
          <w:rFonts w:eastAsia="方正仿宋简体"/>
          <w:sz w:val="30"/>
          <w:szCs w:val="30"/>
        </w:rPr>
      </w:pPr>
      <w:r>
        <w:rPr>
          <w:rFonts w:eastAsia="方正仿宋简体"/>
          <w:color w:val="000000"/>
          <w:kern w:val="0"/>
          <w:sz w:val="30"/>
          <w:szCs w:val="30"/>
        </w:rPr>
        <w:t>期转现保税交割结算价＝期转现申请日前一交易日交割月份合约的结算价</w:t>
      </w:r>
    </w:p>
    <w:p>
      <w:pPr>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 xml:space="preserve">第四十三条 </w:t>
      </w:r>
      <w:r>
        <w:rPr>
          <w:rFonts w:eastAsia="方正仿宋简体"/>
          <w:color w:val="000000"/>
          <w:kern w:val="0"/>
          <w:sz w:val="30"/>
          <w:szCs w:val="30"/>
        </w:rPr>
        <w:t>期转现使用保税标准仓单并通过交易所结算的，卖方应当在办理货款和保税标准仓单交付手续后5个工作日内向交易所提交发票。卖方在14:00之前交付发票的，交易所复核无误后在当日结算时向卖方清退相应的保证金。卖方在14:00之后交付发票的，交易所复核无误后在下一工作日结算时向卖方清退相应的保证金。交易所在收到卖方发票的下一个工作日内向买方开具发票。</w:t>
      </w:r>
    </w:p>
    <w:p>
      <w:pPr>
        <w:spacing w:line="540" w:lineRule="exact"/>
        <w:ind w:firstLine="600" w:firstLineChars="200"/>
        <w:rPr>
          <w:rFonts w:eastAsia="方正仿宋简体"/>
          <w:color w:val="000000"/>
          <w:kern w:val="0"/>
          <w:sz w:val="30"/>
          <w:szCs w:val="30"/>
        </w:rPr>
      </w:pPr>
      <w:r>
        <w:rPr>
          <w:rFonts w:eastAsia="方正仿宋简体"/>
          <w:sz w:val="30"/>
          <w:szCs w:val="30"/>
        </w:rPr>
        <w:t>卖方未在规定期限内提交发票的，迟交发票3至10天的，每天处以应当缴纳货款金额0.5‰的滞纳金；迟交11至30天，每天处以应当缴纳货款金额1‰的滞纳金；超过30天未交发票的，视作不交发票，应当缴纳货款金额20%的违约金。</w:t>
      </w:r>
    </w:p>
    <w:p>
      <w:pPr>
        <w:spacing w:line="540" w:lineRule="exact"/>
        <w:ind w:firstLine="602" w:firstLineChars="200"/>
        <w:rPr>
          <w:rFonts w:eastAsia="方正仿宋简体"/>
          <w:sz w:val="30"/>
          <w:szCs w:val="30"/>
        </w:rPr>
      </w:pPr>
      <w:r>
        <w:rPr>
          <w:rFonts w:eastAsia="方正仿宋简体"/>
          <w:b/>
          <w:sz w:val="30"/>
          <w:szCs w:val="30"/>
        </w:rPr>
        <w:t>第四十四条</w:t>
      </w:r>
      <w:r>
        <w:rPr>
          <w:rFonts w:eastAsia="方正仿宋简体"/>
          <w:sz w:val="30"/>
          <w:szCs w:val="30"/>
        </w:rPr>
        <w:t xml:space="preserve"> 期转现使用保税标准仓单并通过交易所结算发生燃料油交割实物质量纠纷的，买方应当在指定检验机构出具质量检验报告后10个工作日内提出质量异议申请，并应当同时提供指定检验机构出具的质量检验报告。</w:t>
      </w:r>
    </w:p>
    <w:p>
      <w:pPr>
        <w:spacing w:line="540" w:lineRule="exact"/>
        <w:jc w:val="center"/>
        <w:rPr>
          <w:rFonts w:eastAsia="黑体"/>
          <w:sz w:val="30"/>
          <w:szCs w:val="30"/>
        </w:rPr>
      </w:pPr>
      <w:r>
        <w:rPr>
          <w:rFonts w:eastAsia="黑体"/>
          <w:sz w:val="30"/>
          <w:szCs w:val="30"/>
        </w:rPr>
        <w:t>第四章 风险管理</w:t>
      </w:r>
    </w:p>
    <w:p>
      <w:pPr>
        <w:spacing w:line="54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燃料油期货合约的最低交易保证金为合约价值的8%。</w:t>
      </w:r>
    </w:p>
    <w:p>
      <w:pPr>
        <w:spacing w:line="540" w:lineRule="exact"/>
        <w:ind w:firstLine="602" w:firstLineChars="200"/>
        <w:rPr>
          <w:rFonts w:eastAsia="方正仿宋简体"/>
          <w:sz w:val="30"/>
          <w:szCs w:val="30"/>
        </w:rPr>
      </w:pPr>
      <w:r>
        <w:rPr>
          <w:rFonts w:eastAsia="方正仿宋简体"/>
          <w:b/>
          <w:sz w:val="30"/>
          <w:szCs w:val="30"/>
        </w:rPr>
        <w:t xml:space="preserve">第四十六条 </w:t>
      </w:r>
      <w:r>
        <w:rPr>
          <w:rFonts w:eastAsia="方正仿宋简体"/>
          <w:sz w:val="30"/>
          <w:szCs w:val="30"/>
        </w:rPr>
        <w:t>燃料油期货合约上市运行不同阶段的交易保证金收取标准为：</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ind w:firstLine="481" w:firstLineChars="200"/>
              <w:jc w:val="center"/>
              <w:rPr>
                <w:rFonts w:eastAsia="方正仿宋简体"/>
                <w:b/>
                <w:bCs/>
                <w:color w:val="000000"/>
                <w:sz w:val="24"/>
              </w:rPr>
            </w:pPr>
            <w:r>
              <w:rPr>
                <w:rFonts w:eastAsia="方正仿宋简体"/>
                <w:b/>
                <w:bCs/>
                <w:color w:val="000000"/>
                <w:sz w:val="24"/>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ind w:firstLine="481" w:firstLineChars="200"/>
              <w:jc w:val="center"/>
              <w:rPr>
                <w:rFonts w:eastAsia="方正仿宋简体"/>
                <w:b/>
                <w:bCs/>
                <w:color w:val="000000"/>
                <w:sz w:val="24"/>
              </w:rPr>
            </w:pPr>
            <w:r>
              <w:rPr>
                <w:rFonts w:eastAsia="方正仿宋简体"/>
                <w:b/>
                <w:bCs/>
                <w:color w:val="000000"/>
                <w:sz w:val="24"/>
              </w:rPr>
              <w:t>燃料油交易保证金比例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交割月前第二月的第十个交易日起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交割月前第一月的第十个交易日起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20%</w:t>
            </w:r>
          </w:p>
        </w:tc>
      </w:tr>
    </w:tbl>
    <w:p>
      <w:pPr>
        <w:spacing w:line="540" w:lineRule="exact"/>
        <w:ind w:firstLine="602" w:firstLineChars="200"/>
        <w:rPr>
          <w:rFonts w:eastAsia="方正仿宋简体"/>
          <w:sz w:val="30"/>
          <w:szCs w:val="30"/>
        </w:rPr>
      </w:pPr>
      <w:r>
        <w:rPr>
          <w:rFonts w:eastAsia="方正仿宋简体"/>
          <w:b/>
          <w:sz w:val="30"/>
          <w:szCs w:val="30"/>
        </w:rPr>
        <w:t xml:space="preserve">第四十七条 </w:t>
      </w:r>
      <w:r>
        <w:rPr>
          <w:rFonts w:eastAsia="方正仿宋简体"/>
          <w:sz w:val="30"/>
          <w:szCs w:val="30"/>
        </w:rPr>
        <w:t>燃料油期货合约涨跌停板幅度为上一交易日结算价±5%。</w:t>
      </w:r>
    </w:p>
    <w:p>
      <w:pPr>
        <w:spacing w:line="540" w:lineRule="exact"/>
        <w:ind w:firstLine="602" w:firstLineChars="200"/>
        <w:rPr>
          <w:rFonts w:eastAsia="方正仿宋简体"/>
          <w:sz w:val="30"/>
          <w:szCs w:val="30"/>
        </w:rPr>
      </w:pPr>
      <w:r>
        <w:rPr>
          <w:rFonts w:eastAsia="方正仿宋简体"/>
          <w:b/>
          <w:sz w:val="30"/>
          <w:szCs w:val="30"/>
        </w:rPr>
        <w:t xml:space="preserve">第四十八条 </w:t>
      </w:r>
      <w:r>
        <w:rPr>
          <w:rFonts w:eastAsia="方正仿宋简体"/>
          <w:sz w:val="30"/>
          <w:szCs w:val="30"/>
        </w:rPr>
        <w:t>燃料油期货合约在不同时期的限仓比例和限仓数额具体规定如下：</w:t>
      </w:r>
    </w:p>
    <w:p>
      <w:pPr>
        <w:spacing w:line="540" w:lineRule="exact"/>
        <w:ind w:firstLine="480" w:firstLineChars="200"/>
        <w:rPr>
          <w:rFonts w:eastAsia="方正仿宋简体"/>
          <w:sz w:val="30"/>
          <w:szCs w:val="30"/>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358"/>
        <w:gridCol w:w="1398"/>
        <w:gridCol w:w="1067"/>
        <w:gridCol w:w="1249"/>
        <w:gridCol w:w="1053"/>
        <w:gridCol w:w="1341"/>
        <w:gridCol w:w="8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81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p>
        </w:tc>
        <w:tc>
          <w:tcPr>
            <w:tcW w:w="14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合约挂牌至交割月前第三月的最后一个交易日</w:t>
            </w:r>
          </w:p>
        </w:tc>
        <w:tc>
          <w:tcPr>
            <w:tcW w:w="1377"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交割月前第二月</w:t>
            </w:r>
          </w:p>
        </w:tc>
        <w:tc>
          <w:tcPr>
            <w:tcW w:w="133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交割月前第一月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81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4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77"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3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81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836"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74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w:t>
            </w:r>
          </w:p>
          <w:p>
            <w:pPr>
              <w:widowControl/>
              <w:spacing w:line="540" w:lineRule="exact"/>
              <w:jc w:val="center"/>
              <w:rPr>
                <w:rFonts w:eastAsia="方正仿宋简体"/>
                <w:kern w:val="0"/>
                <w:sz w:val="24"/>
              </w:rPr>
            </w:pPr>
            <w:r>
              <w:rPr>
                <w:rFonts w:eastAsia="方正仿宋简体"/>
                <w:bCs/>
                <w:color w:val="000000"/>
                <w:kern w:val="0"/>
                <w:sz w:val="24"/>
              </w:rPr>
              <w:t>公司会员</w:t>
            </w:r>
          </w:p>
        </w:tc>
        <w:tc>
          <w:tcPr>
            <w:tcW w:w="63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0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w:t>
            </w:r>
          </w:p>
          <w:p>
            <w:pPr>
              <w:widowControl/>
              <w:spacing w:line="540" w:lineRule="exact"/>
              <w:jc w:val="center"/>
              <w:rPr>
                <w:rFonts w:eastAsia="方正仿宋简体"/>
                <w:kern w:val="0"/>
                <w:sz w:val="24"/>
              </w:rPr>
            </w:pPr>
            <w:r>
              <w:rPr>
                <w:rFonts w:eastAsia="方正仿宋简体"/>
                <w:bCs/>
                <w:color w:val="000000"/>
                <w:kern w:val="0"/>
                <w:sz w:val="24"/>
              </w:rPr>
              <w:t>公司会员</w:t>
            </w:r>
          </w:p>
        </w:tc>
        <w:tc>
          <w:tcPr>
            <w:tcW w:w="533"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81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燃料油</w:t>
            </w:r>
          </w:p>
        </w:tc>
        <w:tc>
          <w:tcPr>
            <w:tcW w:w="836"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7500</w:t>
            </w:r>
          </w:p>
        </w:tc>
        <w:tc>
          <w:tcPr>
            <w:tcW w:w="6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7500</w:t>
            </w:r>
          </w:p>
        </w:tc>
        <w:tc>
          <w:tcPr>
            <w:tcW w:w="74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1500</w:t>
            </w:r>
          </w:p>
        </w:tc>
        <w:tc>
          <w:tcPr>
            <w:tcW w:w="63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1500</w:t>
            </w:r>
          </w:p>
        </w:tc>
        <w:tc>
          <w:tcPr>
            <w:tcW w:w="80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500</w:t>
            </w:r>
          </w:p>
        </w:tc>
        <w:tc>
          <w:tcPr>
            <w:tcW w:w="533"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500</w:t>
            </w:r>
          </w:p>
        </w:tc>
      </w:tr>
    </w:tbl>
    <w:p>
      <w:pPr>
        <w:widowControl/>
        <w:spacing w:line="54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40" w:lineRule="exact"/>
        <w:ind w:firstLine="602" w:firstLineChars="200"/>
        <w:rPr>
          <w:rFonts w:eastAsia="方正仿宋简体"/>
          <w:sz w:val="30"/>
          <w:szCs w:val="30"/>
        </w:rPr>
      </w:pPr>
      <w:r>
        <w:rPr>
          <w:rFonts w:eastAsia="方正仿宋简体"/>
          <w:b/>
          <w:sz w:val="30"/>
          <w:szCs w:val="30"/>
        </w:rPr>
        <w:t xml:space="preserve">第四十九条 </w:t>
      </w:r>
      <w:r>
        <w:rPr>
          <w:rFonts w:eastAsia="方正仿宋简体"/>
          <w:sz w:val="30"/>
          <w:szCs w:val="30"/>
        </w:rPr>
        <w:t>交易所对某一燃料油期货合约采取强制减仓的，其申报平仓数量、持仓盈利</w:t>
      </w:r>
      <w:r>
        <w:rPr>
          <w:rFonts w:hint="eastAsia" w:eastAsia="方正仿宋简体"/>
          <w:sz w:val="30"/>
          <w:szCs w:val="30"/>
        </w:rPr>
        <w:t>交易者（即客户、非期货公司会员，下同）</w:t>
      </w:r>
      <w:r>
        <w:rPr>
          <w:rFonts w:eastAsia="方正仿宋简体"/>
          <w:sz w:val="30"/>
          <w:szCs w:val="30"/>
        </w:rPr>
        <w:t>平仓范围以及平仓数量的分配原则及方法按照下列方法确定：</w:t>
      </w:r>
    </w:p>
    <w:p>
      <w:pPr>
        <w:spacing w:line="54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该燃料油期货合约的单位净持仓亏损大于或者等于强制减仓基准日结算价8%的所有申报平仓数量的总和为平仓数量。</w:t>
      </w:r>
    </w:p>
    <w:p>
      <w:pPr>
        <w:spacing w:line="54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4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40" w:lineRule="exact"/>
        <w:ind w:firstLine="600" w:firstLineChars="200"/>
        <w:rPr>
          <w:rFonts w:eastAsia="方正仿宋简体"/>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40" w:lineRule="exact"/>
        <w:jc w:val="center"/>
        <w:rPr>
          <w:rFonts w:eastAsia="方正黑体简体"/>
          <w:sz w:val="30"/>
          <w:szCs w:val="30"/>
        </w:rPr>
      </w:pPr>
      <w:r>
        <w:rPr>
          <w:rFonts w:eastAsia="方正黑体简体"/>
          <w:sz w:val="30"/>
          <w:szCs w:val="30"/>
        </w:rPr>
        <w:t>第五章 附则</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第五十条 </w:t>
      </w:r>
      <w:r>
        <w:rPr>
          <w:rFonts w:eastAsia="方正仿宋简体"/>
          <w:sz w:val="30"/>
          <w:szCs w:val="30"/>
        </w:rPr>
        <w:t>本细则未规定的，按照交易所相关业务规则的规定执行。</w:t>
      </w:r>
    </w:p>
    <w:p>
      <w:pPr>
        <w:spacing w:line="540" w:lineRule="exact"/>
        <w:ind w:firstLine="602" w:firstLineChars="200"/>
        <w:rPr>
          <w:rFonts w:eastAsia="方正仿宋简体"/>
          <w:sz w:val="30"/>
          <w:szCs w:val="30"/>
        </w:rPr>
      </w:pPr>
      <w:r>
        <w:rPr>
          <w:rFonts w:eastAsia="方正仿宋简体"/>
          <w:b/>
          <w:sz w:val="30"/>
          <w:szCs w:val="30"/>
        </w:rPr>
        <w:t>第五十一条</w:t>
      </w:r>
      <w:r>
        <w:rPr>
          <w:rFonts w:eastAsia="方正仿宋简体"/>
          <w:sz w:val="30"/>
          <w:szCs w:val="30"/>
        </w:rPr>
        <w:t xml:space="preserve"> 违反本细则规定的，交易所按照《上海期货交易所违规处理办法》的有关规定处理。</w:t>
      </w:r>
    </w:p>
    <w:p>
      <w:pPr>
        <w:spacing w:line="540" w:lineRule="exact"/>
        <w:ind w:firstLine="602" w:firstLineChars="200"/>
        <w:rPr>
          <w:rFonts w:eastAsia="方正仿宋简体"/>
          <w:b/>
          <w:sz w:val="30"/>
          <w:szCs w:val="30"/>
          <w:shd w:val="pct10" w:color="auto" w:fill="FFFFFF"/>
        </w:rPr>
      </w:pPr>
      <w:r>
        <w:rPr>
          <w:rFonts w:eastAsia="方正仿宋简体"/>
          <w:b/>
          <w:color w:val="000000"/>
          <w:kern w:val="0"/>
          <w:sz w:val="30"/>
          <w:szCs w:val="30"/>
        </w:rPr>
        <w:t xml:space="preserve">第五十二条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color w:val="000000"/>
          <w:kern w:val="0"/>
          <w:sz w:val="30"/>
          <w:szCs w:val="30"/>
        </w:rPr>
        <w:t>第五十</w:t>
      </w:r>
      <w:r>
        <w:rPr>
          <w:rFonts w:hint="eastAsia" w:eastAsia="方正仿宋简体"/>
          <w:b/>
          <w:color w:val="000000"/>
          <w:kern w:val="0"/>
          <w:sz w:val="30"/>
          <w:szCs w:val="30"/>
        </w:rPr>
        <w:t>三</w:t>
      </w:r>
      <w:r>
        <w:rPr>
          <w:rFonts w:eastAsia="方正仿宋简体"/>
          <w:b/>
          <w:color w:val="000000"/>
          <w:kern w:val="0"/>
          <w:sz w:val="30"/>
          <w:szCs w:val="30"/>
        </w:rPr>
        <w:t xml:space="preserve">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上海期货交易所石油沥青期货业务细则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sz w:val="30"/>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为了规范上海期货交易所（以下简称交易所）石油沥青（以下简称沥青）期货相关业务，根据《上海期货交易所交易规则》《上海期货交易所石油沥青期货合约》以及相关业务规则，制定本细则。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沥青期货合约的交易单位为10吨/手。</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第四条</w:t>
      </w:r>
      <w:r>
        <w:rPr>
          <w:rFonts w:eastAsia="方正仿宋简体"/>
          <w:sz w:val="30"/>
          <w:szCs w:val="30"/>
        </w:rPr>
        <w:t xml:space="preserve"> 沥青期货合约的报价单位为元（人民币）/吨。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沥青期货合约的最小变动价位为1元/吨。</w:t>
      </w:r>
    </w:p>
    <w:p>
      <w:pPr>
        <w:spacing w:line="560" w:lineRule="exact"/>
        <w:ind w:firstLine="602" w:firstLineChars="200"/>
        <w:rPr>
          <w:rFonts w:eastAsia="方正仿宋简体"/>
          <w:b/>
          <w:sz w:val="30"/>
          <w:szCs w:val="30"/>
        </w:rPr>
      </w:pPr>
      <w:r>
        <w:rPr>
          <w:rFonts w:eastAsia="方正仿宋简体"/>
          <w:b/>
          <w:sz w:val="30"/>
          <w:szCs w:val="30"/>
        </w:rPr>
        <w:t>第六条</w:t>
      </w:r>
      <w:r>
        <w:rPr>
          <w:rFonts w:eastAsia="方正仿宋简体"/>
          <w:sz w:val="30"/>
          <w:szCs w:val="30"/>
        </w:rPr>
        <w:t xml:space="preserve"> 沥青期货合约月份为最近1～12个月为连续月份以及随后四个季月。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沥青期货合约的交易时间为上午9:00～11:30，下午1:30～3:00和交易所规定的其他交易时间。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沥青期货合约的最后交易日为合约月份的15日，遇国家法定节假日顺延，春节月份等最后交易日交易所可另行调整并通知。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沥青期货合约的交易代码为BU。</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沥青期货套期保值交</w:t>
      </w:r>
      <w:r>
        <w:rPr>
          <w:rFonts w:eastAsia="方正仿宋简体"/>
          <w:bCs/>
          <w:sz w:val="30"/>
          <w:szCs w:val="30"/>
        </w:rPr>
        <w:t>易</w:t>
      </w:r>
      <w:r>
        <w:rPr>
          <w:rFonts w:hint="eastAsia" w:eastAsia="方正仿宋简体"/>
          <w:bCs/>
          <w:sz w:val="30"/>
          <w:szCs w:val="30"/>
        </w:rPr>
        <w:t>持仓额度</w:t>
      </w:r>
      <w:r>
        <w:rPr>
          <w:rFonts w:eastAsia="方正仿宋简体"/>
          <w:bCs/>
          <w:sz w:val="30"/>
          <w:szCs w:val="30"/>
        </w:rPr>
        <w:t>和套利交易</w:t>
      </w:r>
      <w:r>
        <w:rPr>
          <w:rFonts w:hint="eastAsia" w:eastAsia="方正仿宋简体"/>
          <w:bCs/>
          <w:sz w:val="30"/>
          <w:szCs w:val="30"/>
        </w:rPr>
        <w:t>持仓额度</w:t>
      </w:r>
      <w:r>
        <w:rPr>
          <w:rFonts w:eastAsia="方正仿宋简体"/>
          <w:bCs/>
          <w:sz w:val="30"/>
          <w:szCs w:val="30"/>
        </w:rPr>
        <w:t>，所涉的一般月份是指合约挂牌至</w:t>
      </w:r>
      <w:r>
        <w:rPr>
          <w:rFonts w:eastAsia="方正仿宋简体"/>
          <w:sz w:val="30"/>
          <w:szCs w:val="30"/>
        </w:rPr>
        <w:t>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沥青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沥青期货临近交割月份套期保值交易持仓额度的申请应当在该套期保值所涉合约交割月前第二月的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第一个交易日至交割月前第一月的最后一个交易日之间提出，逾期交易所不再受理；沥青期货临近交割月份套利交易</w:t>
      </w:r>
      <w:r>
        <w:rPr>
          <w:rFonts w:hint="eastAsia" w:eastAsia="方正仿宋简体"/>
          <w:bCs/>
          <w:sz w:val="30"/>
          <w:szCs w:val="30"/>
        </w:rPr>
        <w:t>持仓额度</w:t>
      </w:r>
      <w:r>
        <w:rPr>
          <w:rFonts w:eastAsia="方正仿宋简体"/>
          <w:bCs/>
          <w:sz w:val="30"/>
          <w:szCs w:val="30"/>
        </w:rPr>
        <w:t>的</w:t>
      </w:r>
      <w:r>
        <w:rPr>
          <w:rFonts w:eastAsia="方正仿宋简体"/>
          <w:sz w:val="30"/>
          <w:szCs w:val="30"/>
        </w:rPr>
        <w:t>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eastAsia="方正仿宋简体"/>
          <w:sz w:val="30"/>
          <w:szCs w:val="30"/>
        </w:rPr>
        <w:t xml:space="preserve"> 沥青期货套期保值交</w:t>
      </w:r>
      <w:r>
        <w:rPr>
          <w:rFonts w:eastAsia="方正仿宋简体"/>
          <w:bCs/>
          <w:sz w:val="30"/>
          <w:szCs w:val="30"/>
        </w:rPr>
        <w:t>易</w:t>
      </w:r>
      <w:r>
        <w:rPr>
          <w:rFonts w:hint="eastAsia" w:eastAsia="方正仿宋简体"/>
          <w:bCs/>
          <w:sz w:val="30"/>
          <w:szCs w:val="30"/>
        </w:rPr>
        <w:t>持仓额度</w:t>
      </w:r>
      <w:r>
        <w:rPr>
          <w:rFonts w:eastAsia="方正仿宋简体"/>
          <w:bCs/>
          <w:sz w:val="30"/>
          <w:szCs w:val="30"/>
        </w:rPr>
        <w:t>自</w:t>
      </w:r>
      <w:r>
        <w:rPr>
          <w:rFonts w:eastAsia="方正仿宋简体"/>
          <w:sz w:val="30"/>
          <w:szCs w:val="30"/>
        </w:rPr>
        <w:t>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b/>
          <w:sz w:val="30"/>
          <w:szCs w:val="30"/>
        </w:rPr>
      </w:pPr>
      <w:r>
        <w:rPr>
          <w:rFonts w:eastAsia="方正仿宋简体"/>
          <w:b/>
          <w:sz w:val="30"/>
          <w:szCs w:val="30"/>
        </w:rPr>
        <w:t>第十三条</w:t>
      </w:r>
      <w:r>
        <w:rPr>
          <w:rFonts w:eastAsia="方正仿宋简体"/>
          <w:sz w:val="30"/>
          <w:szCs w:val="30"/>
        </w:rPr>
        <w:t xml:space="preserve"> 沥青期货适用期货转现货、仓库交割、厂库交割。</w:t>
      </w:r>
    </w:p>
    <w:p>
      <w:pPr>
        <w:spacing w:line="560" w:lineRule="exact"/>
        <w:ind w:firstLine="600" w:firstLineChars="200"/>
        <w:rPr>
          <w:rFonts w:eastAsia="方正仿宋简体"/>
          <w:b/>
          <w:sz w:val="30"/>
          <w:szCs w:val="30"/>
          <w:shd w:val="pct10" w:color="auto" w:fill="FFFFFF"/>
        </w:rPr>
      </w:pPr>
      <w:r>
        <w:rPr>
          <w:rFonts w:eastAsia="方正仿宋简体"/>
          <w:sz w:val="30"/>
          <w:szCs w:val="30"/>
        </w:rPr>
        <w:t>沥青期货实行完税交割</w:t>
      </w:r>
      <w:r>
        <w:rPr>
          <w:rFonts w:hint="eastAsia"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b/>
          <w:color w:val="FF0000"/>
          <w:sz w:val="30"/>
          <w:szCs w:val="30"/>
        </w:rPr>
        <w:t xml:space="preserve"> </w:t>
      </w:r>
      <w:r>
        <w:rPr>
          <w:rFonts w:eastAsia="方正仿宋简体"/>
          <w:sz w:val="30"/>
          <w:szCs w:val="30"/>
        </w:rPr>
        <w:t>沥青交割品级适用国家交通运输部标准。用于实物交割的70号A级道路石油沥青，质量标准应当符合交通部现行有效的《公路沥青路面施工技术规范》中表4.2.1-2规定的技术要求。</w:t>
      </w:r>
    </w:p>
    <w:p>
      <w:pPr>
        <w:spacing w:line="560" w:lineRule="exact"/>
        <w:ind w:firstLine="600" w:firstLineChars="200"/>
        <w:rPr>
          <w:rFonts w:eastAsia="方正仿宋简体"/>
          <w:sz w:val="30"/>
          <w:szCs w:val="30"/>
        </w:rPr>
      </w:pPr>
      <w:r>
        <w:rPr>
          <w:rFonts w:eastAsia="方正仿宋简体"/>
          <w:sz w:val="30"/>
          <w:szCs w:val="30"/>
        </w:rPr>
        <w:t>若《公路沥青路面施工技术规范》调整，新的技术规范执行具体要求由交易所另行发布。</w:t>
      </w:r>
    </w:p>
    <w:p>
      <w:pPr>
        <w:spacing w:line="560" w:lineRule="exact"/>
        <w:ind w:firstLine="602" w:firstLineChars="200"/>
        <w:rPr>
          <w:rFonts w:eastAsia="方正仿宋简体"/>
          <w:color w:val="0D0D0D"/>
          <w:sz w:val="30"/>
          <w:szCs w:val="30"/>
        </w:rPr>
      </w:pPr>
      <w:r>
        <w:rPr>
          <w:rFonts w:eastAsia="方正仿宋简体"/>
          <w:b/>
          <w:color w:val="0D0D0D"/>
          <w:sz w:val="30"/>
          <w:szCs w:val="30"/>
        </w:rPr>
        <w:t>第十五条</w:t>
      </w:r>
      <w:r>
        <w:rPr>
          <w:rFonts w:eastAsia="方正仿宋简体"/>
          <w:color w:val="0D0D0D"/>
          <w:sz w:val="30"/>
          <w:szCs w:val="30"/>
        </w:rPr>
        <w:t xml:space="preserve"> 用于实物交割的沥青，应当是交易所批准的注册商品。</w:t>
      </w:r>
    </w:p>
    <w:p>
      <w:pPr>
        <w:spacing w:line="560" w:lineRule="exact"/>
        <w:ind w:firstLine="602" w:firstLineChars="200"/>
        <w:rPr>
          <w:rFonts w:eastAsia="方正仿宋简体"/>
          <w:sz w:val="30"/>
          <w:szCs w:val="30"/>
        </w:rPr>
      </w:pPr>
      <w:r>
        <w:rPr>
          <w:rFonts w:eastAsia="方正仿宋简体"/>
          <w:b/>
          <w:color w:val="000000"/>
          <w:kern w:val="0"/>
          <w:sz w:val="30"/>
          <w:szCs w:val="30"/>
        </w:rPr>
        <w:t>第十六条</w:t>
      </w:r>
      <w:r>
        <w:rPr>
          <w:rFonts w:eastAsia="方正仿宋简体"/>
          <w:sz w:val="30"/>
          <w:szCs w:val="30"/>
        </w:rPr>
        <w:t xml:space="preserve"> 损耗和溢短</w:t>
      </w:r>
    </w:p>
    <w:p>
      <w:pPr>
        <w:spacing w:line="560" w:lineRule="exact"/>
        <w:ind w:firstLine="600" w:firstLineChars="200"/>
        <w:rPr>
          <w:rFonts w:eastAsia="方正仿宋简体"/>
          <w:sz w:val="30"/>
          <w:szCs w:val="30"/>
        </w:rPr>
      </w:pPr>
      <w:r>
        <w:rPr>
          <w:rFonts w:eastAsia="方正仿宋简体"/>
          <w:sz w:val="30"/>
          <w:szCs w:val="30"/>
        </w:rPr>
        <w:t>（一）沥青入出库一次的总损耗不超过2‰，由入出库货主各承担50%</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（二）溢短：每张标准仓单所列沥青的重量为10吨，入库或者提货时实际沥青溢短重量不超过±3%。</w:t>
      </w:r>
    </w:p>
    <w:p>
      <w:pPr>
        <w:spacing w:line="560" w:lineRule="exact"/>
        <w:ind w:firstLine="600" w:firstLineChars="200"/>
        <w:rPr>
          <w:rFonts w:eastAsia="方正仿宋简体"/>
          <w:sz w:val="30"/>
          <w:szCs w:val="30"/>
        </w:rPr>
      </w:pPr>
      <w:r>
        <w:rPr>
          <w:rFonts w:eastAsia="方正仿宋简体"/>
          <w:sz w:val="30"/>
          <w:szCs w:val="30"/>
        </w:rPr>
        <w:t xml:space="preserve">（三）溢短量结算 </w:t>
      </w:r>
    </w:p>
    <w:p>
      <w:pPr>
        <w:spacing w:line="560" w:lineRule="exact"/>
        <w:ind w:firstLine="600" w:firstLineChars="200"/>
        <w:rPr>
          <w:rFonts w:eastAsia="方正仿宋简体"/>
          <w:sz w:val="30"/>
          <w:szCs w:val="30"/>
        </w:rPr>
      </w:pPr>
      <w:r>
        <w:rPr>
          <w:rFonts w:eastAsia="方正仿宋简体"/>
          <w:sz w:val="30"/>
          <w:szCs w:val="30"/>
        </w:rPr>
        <w:t>沥青入库过程中发生的溢短（扣除1‰的损耗后）由货主按照沥青入库完成前一交易日交易所最近月份沥青期货合约的结算价，在入库完成后三个工作日内直接与交割仓库进行结算</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沥青出库过程中发生的溢短（扣除1‰的损耗后）由货主按照沥青出库完成前一交易日交易所最近月份沥青期货合约的结算价，在出库完成后三个工作日内直接与交割仓库或者交割厂库进行结算。</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沥青期货合约的交割单位为每一标准仓单10吨。</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沥青期货合约的交割日期为最后交易日后连续二个工作日。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沥青期货合约交割结算的基准价为该合约最后5个有成交交易日的结算价的算术平均价。</w:t>
      </w:r>
    </w:p>
    <w:p>
      <w:pPr>
        <w:spacing w:line="560" w:lineRule="exact"/>
        <w:ind w:firstLine="602" w:firstLineChars="200"/>
        <w:rPr>
          <w:rFonts w:eastAsia="方正仿宋简体"/>
          <w:b/>
          <w:sz w:val="30"/>
          <w:szCs w:val="30"/>
          <w:shd w:val="pct10" w:color="auto" w:fill="FFFFFF"/>
        </w:rPr>
      </w:pPr>
      <w:r>
        <w:rPr>
          <w:rFonts w:eastAsia="方正仿宋简体"/>
          <w:b/>
          <w:color w:val="0D0D0D"/>
          <w:sz w:val="30"/>
          <w:szCs w:val="30"/>
        </w:rPr>
        <w:t>第二十条</w:t>
      </w:r>
      <w:r>
        <w:rPr>
          <w:rFonts w:eastAsia="方正仿宋简体"/>
          <w:b/>
          <w:color w:val="FF0000"/>
          <w:sz w:val="30"/>
          <w:szCs w:val="30"/>
        </w:rPr>
        <w:t xml:space="preserve"> </w:t>
      </w:r>
      <w:r>
        <w:rPr>
          <w:rFonts w:eastAsia="方正仿宋简体"/>
          <w:sz w:val="30"/>
          <w:szCs w:val="30"/>
        </w:rPr>
        <w:t>交割地点：交易所交割仓库、交割厂库，由交易所另行公告。</w:t>
      </w:r>
    </w:p>
    <w:p>
      <w:pPr>
        <w:spacing w:line="560" w:lineRule="exact"/>
        <w:ind w:firstLine="602" w:firstLineChars="200"/>
        <w:jc w:val="center"/>
        <w:rPr>
          <w:rFonts w:eastAsia="方正仿宋简体"/>
          <w:b/>
          <w:sz w:val="30"/>
          <w:szCs w:val="30"/>
          <w:shd w:val="pct10" w:color="auto" w:fill="FFFFFF"/>
        </w:rPr>
      </w:pPr>
      <w:r>
        <w:rPr>
          <w:rFonts w:eastAsia="方正仿宋简体"/>
          <w:b/>
          <w:color w:val="000000"/>
          <w:kern w:val="0"/>
          <w:sz w:val="30"/>
          <w:szCs w:val="30"/>
        </w:rPr>
        <w:t xml:space="preserve">第二十一条 </w:t>
      </w:r>
      <w:r>
        <w:rPr>
          <w:rFonts w:eastAsia="方正仿宋简体"/>
          <w:sz w:val="30"/>
          <w:szCs w:val="30"/>
        </w:rPr>
        <w:t>沥青</w:t>
      </w:r>
      <w:r>
        <w:rPr>
          <w:rFonts w:eastAsia="方正仿宋简体"/>
          <w:color w:val="000000"/>
          <w:kern w:val="0"/>
          <w:sz w:val="30"/>
          <w:szCs w:val="30"/>
        </w:rPr>
        <w:t>期转现是指持有方向相反的同一月份合约的会员（客户）协商一致并向交易所提出申请，获得交易所批准后，分别将各自持有的合约按交易所规定的价格由交易所代为平仓，同时按双方协议价格进行与期货合约标的物数量相当、品种相同或者相近、方向相同的仓单或者其他提货凭证的交换行为。</w:t>
      </w:r>
      <w:r>
        <w:rPr>
          <w:rFonts w:eastAsia="方正仿宋简体"/>
          <w:b/>
          <w:bCs/>
          <w:color w:val="000000"/>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检验方法和机构</w:t>
      </w:r>
    </w:p>
    <w:p>
      <w:pPr>
        <w:spacing w:line="560" w:lineRule="exact"/>
        <w:ind w:firstLine="600" w:firstLineChars="200"/>
        <w:rPr>
          <w:rFonts w:eastAsia="方正仿宋简体"/>
          <w:sz w:val="30"/>
          <w:szCs w:val="30"/>
        </w:rPr>
      </w:pPr>
      <w:r>
        <w:rPr>
          <w:rFonts w:eastAsia="方正仿宋简体"/>
          <w:sz w:val="30"/>
          <w:szCs w:val="30"/>
        </w:rPr>
        <w:t>沥青入出库以交易所指定检验机构（由交易所另行公告）检验为准，取样方法采用交通部现行有效的《公路工程沥青及沥青混合料试验规程》指定的方法，试验方法采用交通部现行有效的《公路沥青路面施工技术规范》指定的方法。</w:t>
      </w:r>
    </w:p>
    <w:p>
      <w:pPr>
        <w:spacing w:line="560" w:lineRule="exact"/>
        <w:ind w:firstLine="600" w:firstLineChars="200"/>
        <w:rPr>
          <w:rFonts w:eastAsia="方正仿宋简体"/>
          <w:sz w:val="30"/>
          <w:szCs w:val="30"/>
        </w:rPr>
      </w:pPr>
      <w:r>
        <w:rPr>
          <w:rFonts w:eastAsia="方正仿宋简体"/>
          <w:sz w:val="30"/>
          <w:szCs w:val="30"/>
        </w:rPr>
        <w:t>沥青入库时检验机构由卖方在交易所指定检验机构中选择，沥青出库时检验机构由买方在交易所指定检验机构中选择。交割仓库对买方或卖方选择的检验机构有异议的，可以与对方协商重新指定检验机构。协商不成的，可以向交易所提出申请，由交易所指定检验机构。买卖双方和交割仓库应当配合指定检验机构的检验工作。检验费用分别由买卖双方各自承担。</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沥青入出库的最小量应符合交易所规定（由交易所另行公告），运输工具应当符合港口、码头及交割仓库等在接卸和计量管理等方面的要求，并严格遵守交割仓库的安全操作规范。</w:t>
      </w:r>
    </w:p>
    <w:p>
      <w:pPr>
        <w:spacing w:line="56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入库申报（交割预报）</w:t>
      </w:r>
    </w:p>
    <w:p>
      <w:pPr>
        <w:spacing w:line="560" w:lineRule="exact"/>
        <w:ind w:firstLine="600" w:firstLineChars="200"/>
        <w:rPr>
          <w:rFonts w:eastAsia="方正仿宋简体"/>
          <w:sz w:val="30"/>
          <w:szCs w:val="30"/>
        </w:rPr>
      </w:pPr>
      <w:r>
        <w:rPr>
          <w:rFonts w:eastAsia="方正仿宋简体"/>
          <w:sz w:val="30"/>
          <w:szCs w:val="30"/>
        </w:rPr>
        <w:t>货主向交割仓库发货前，应当办理入库申报（交割预报），向交易所提交沥青入库申报和制作标准仓单申请。入库申报的内容包括品种、等级、数量、生产企业及拟入交割仓库名称等。客户应当委托期货公司会员办理入库申报（交割预报）手续。</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入库申报审批</w:t>
      </w:r>
    </w:p>
    <w:p>
      <w:pPr>
        <w:spacing w:line="560" w:lineRule="exact"/>
        <w:ind w:firstLine="600" w:firstLineChars="200"/>
        <w:rPr>
          <w:rFonts w:eastAsia="方正仿宋简体"/>
          <w:sz w:val="30"/>
          <w:szCs w:val="30"/>
        </w:rPr>
      </w:pPr>
      <w:r>
        <w:rPr>
          <w:rFonts w:eastAsia="方正仿宋简体"/>
          <w:sz w:val="30"/>
          <w:szCs w:val="30"/>
        </w:rPr>
        <w:t>交易所在库容允许情况下，考虑货主意愿，在3个交易日内决定是否批准入库。货主应当在交易所规定的有效期内向已批准的入库申报中确定的交割仓库发货。未经过交易所批准入库或未在规定的有效期内入库的沥青不能用于交割。</w:t>
      </w:r>
    </w:p>
    <w:p>
      <w:pPr>
        <w:spacing w:line="560" w:lineRule="exact"/>
        <w:ind w:firstLine="600" w:firstLineChars="200"/>
        <w:rPr>
          <w:rFonts w:eastAsia="方正仿宋简体"/>
          <w:sz w:val="30"/>
          <w:szCs w:val="30"/>
        </w:rPr>
      </w:pPr>
      <w:r>
        <w:rPr>
          <w:rFonts w:eastAsia="方正仿宋简体"/>
          <w:sz w:val="30"/>
          <w:szCs w:val="30"/>
        </w:rPr>
        <w:t>入库申报自批准之日起有效，入库申报有效期为15天。</w:t>
      </w:r>
    </w:p>
    <w:p>
      <w:pPr>
        <w:spacing w:line="56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入库申报押金</w:t>
      </w:r>
    </w:p>
    <w:p>
      <w:pPr>
        <w:spacing w:line="560" w:lineRule="exact"/>
        <w:ind w:firstLine="600" w:firstLineChars="200"/>
        <w:rPr>
          <w:rFonts w:eastAsia="方正仿宋简体"/>
          <w:sz w:val="30"/>
          <w:szCs w:val="30"/>
        </w:rPr>
      </w:pPr>
      <w:r>
        <w:rPr>
          <w:rFonts w:eastAsia="方正仿宋简体"/>
          <w:sz w:val="30"/>
          <w:szCs w:val="30"/>
        </w:rPr>
        <w:t>货主提交的入库申报资料应当属实，并交纳30元/吨的申报押金，申报押金由交易所从会员结算准备金账户中划转</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货主在有效期内按已批准的入库申报执行的，交易所在货主取得标准仓单后将申报押金清退至会员结算准备金账户中。部分执行的，按实际到货量返还；未按申报执行的，入库申报押金不予返还，由交易所支付给交割仓库</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入库检验</w:t>
      </w:r>
    </w:p>
    <w:p>
      <w:pPr>
        <w:spacing w:line="560" w:lineRule="exact"/>
        <w:ind w:firstLine="600" w:firstLineChars="200"/>
        <w:rPr>
          <w:rFonts w:eastAsia="方正仿宋简体"/>
          <w:sz w:val="30"/>
          <w:szCs w:val="30"/>
        </w:rPr>
      </w:pPr>
      <w:r>
        <w:rPr>
          <w:rFonts w:eastAsia="方正仿宋简体"/>
          <w:sz w:val="30"/>
          <w:szCs w:val="30"/>
        </w:rPr>
        <w:t>沥青运抵交割仓库后，交割仓库应当对到货及相关单证进行验核。</w:t>
      </w:r>
    </w:p>
    <w:p>
      <w:pPr>
        <w:spacing w:line="560" w:lineRule="exact"/>
        <w:ind w:firstLine="600" w:firstLineChars="200"/>
        <w:rPr>
          <w:rFonts w:eastAsia="方正仿宋简体"/>
          <w:sz w:val="30"/>
          <w:szCs w:val="30"/>
        </w:rPr>
      </w:pPr>
      <w:r>
        <w:rPr>
          <w:rFonts w:eastAsia="方正仿宋简体"/>
          <w:sz w:val="30"/>
          <w:szCs w:val="30"/>
        </w:rPr>
        <w:t>入库沥青应由注册生产企业原厂直接运达交割仓库。装运和储存期间不得进行调和。交割仓库有权对沥青运输环节进行监运管理，交割仓库认为入库沥青有可能存在潜在质量问题的，可以采集样品检验，检验合格后再要求货主卸货。</w:t>
      </w:r>
    </w:p>
    <w:p>
      <w:pPr>
        <w:spacing w:line="560" w:lineRule="exact"/>
        <w:ind w:firstLine="600" w:firstLineChars="200"/>
        <w:rPr>
          <w:rFonts w:eastAsia="方正仿宋简体"/>
          <w:sz w:val="30"/>
          <w:szCs w:val="30"/>
        </w:rPr>
      </w:pPr>
      <w:r>
        <w:rPr>
          <w:rFonts w:eastAsia="方正仿宋简体"/>
          <w:sz w:val="30"/>
          <w:szCs w:val="30"/>
        </w:rPr>
        <w:t>入库沥青应当由交易所指定检验机构进行检验，检验分为质量检验和重量检验两部分。质量检验以指定检验机构检验报告为准，质量检验报告符合交易所沥青质量标准才能生成标准仓单；重量检验以指定检验机构签发的重量检验报告为准。货主应当确保所入库沥青符合交易所规定的质量标准。</w:t>
      </w:r>
    </w:p>
    <w:p>
      <w:pPr>
        <w:spacing w:line="56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货主监收</w:t>
      </w:r>
    </w:p>
    <w:p>
      <w:pPr>
        <w:spacing w:line="560" w:lineRule="exact"/>
        <w:ind w:firstLine="600" w:firstLineChars="200"/>
        <w:rPr>
          <w:rFonts w:eastAsia="方正仿宋简体"/>
          <w:sz w:val="30"/>
          <w:szCs w:val="30"/>
        </w:rPr>
      </w:pPr>
      <w:r>
        <w:rPr>
          <w:rFonts w:eastAsia="方正仿宋简体"/>
          <w:sz w:val="30"/>
          <w:szCs w:val="30"/>
        </w:rPr>
        <w:t>沥青入库时，货主应当到交割仓库监收；货主不到交割仓库监收的，视为货主同意指定检验机构的检验结果</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沥青储存</w:t>
      </w:r>
    </w:p>
    <w:p>
      <w:pPr>
        <w:spacing w:line="560" w:lineRule="exact"/>
        <w:ind w:firstLine="600" w:firstLineChars="200"/>
        <w:rPr>
          <w:rFonts w:eastAsia="方正仿宋简体"/>
          <w:sz w:val="30"/>
          <w:szCs w:val="30"/>
        </w:rPr>
      </w:pPr>
      <w:r>
        <w:rPr>
          <w:rFonts w:eastAsia="方正仿宋简体"/>
          <w:sz w:val="30"/>
          <w:szCs w:val="30"/>
        </w:rPr>
        <w:t>沥青入库应当按照生产企业的不同分罐存储。</w:t>
      </w:r>
    </w:p>
    <w:p>
      <w:pPr>
        <w:spacing w:line="560" w:lineRule="exact"/>
        <w:ind w:firstLine="602" w:firstLineChars="200"/>
        <w:rPr>
          <w:rFonts w:eastAsia="方正仿宋简体"/>
          <w:sz w:val="30"/>
          <w:szCs w:val="30"/>
        </w:rPr>
      </w:pPr>
      <w:r>
        <w:rPr>
          <w:rFonts w:eastAsia="方正仿宋简体"/>
          <w:b/>
          <w:sz w:val="30"/>
          <w:szCs w:val="30"/>
        </w:rPr>
        <w:t>第三十条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（一）国产沥青：应当提供注册生产企业出具的产品质量合格证书和原厂装货凭证，以及交易所指定检验机构出具的检验证书原件</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（二）进口沥青：应当提供进口货物报关单、海关放行单原件（交易所复印后退还）、商检证书和交易所指定检验机构出具的检验证书原件。</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签发标准仓单</w:t>
      </w:r>
    </w:p>
    <w:p>
      <w:pPr>
        <w:spacing w:line="560" w:lineRule="exact"/>
        <w:ind w:firstLine="600" w:firstLineChars="200"/>
        <w:rPr>
          <w:rFonts w:eastAsia="方正仿宋简体"/>
          <w:sz w:val="30"/>
          <w:szCs w:val="30"/>
        </w:rPr>
      </w:pPr>
      <w:r>
        <w:rPr>
          <w:rFonts w:eastAsia="方正仿宋简体"/>
          <w:sz w:val="30"/>
          <w:szCs w:val="30"/>
        </w:rPr>
        <w:t>（一）交易所审证</w:t>
      </w:r>
    </w:p>
    <w:p>
      <w:pPr>
        <w:spacing w:line="560" w:lineRule="exact"/>
        <w:ind w:firstLine="600" w:firstLineChars="200"/>
        <w:rPr>
          <w:rFonts w:eastAsia="方正仿宋简体"/>
          <w:sz w:val="30"/>
          <w:szCs w:val="30"/>
        </w:rPr>
      </w:pPr>
      <w:r>
        <w:rPr>
          <w:rFonts w:eastAsia="方正仿宋简体"/>
          <w:sz w:val="30"/>
          <w:szCs w:val="30"/>
        </w:rPr>
        <w:t>入库完毕并验收合格后，会员持交割必备单证到交易所办理审证手续。交易所审查合格后，通知交割仓库在标准仓单管理系统中签发标准仓单</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（二）仓库签发标准仓单</w:t>
      </w:r>
    </w:p>
    <w:p>
      <w:pPr>
        <w:spacing w:line="560" w:lineRule="exact"/>
        <w:ind w:firstLine="600" w:firstLineChars="200"/>
        <w:rPr>
          <w:rFonts w:eastAsia="方正仿宋简体"/>
          <w:sz w:val="30"/>
          <w:szCs w:val="30"/>
        </w:rPr>
      </w:pPr>
      <w:r>
        <w:rPr>
          <w:rFonts w:eastAsia="方正仿宋简体"/>
          <w:sz w:val="30"/>
          <w:szCs w:val="30"/>
        </w:rPr>
        <w:t>交割仓库接到交易所指令后在标准仓单管理系统中签发标准仓单</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提货</w:t>
      </w:r>
    </w:p>
    <w:p>
      <w:pPr>
        <w:spacing w:line="560" w:lineRule="exact"/>
        <w:ind w:firstLine="600" w:firstLineChars="200"/>
        <w:rPr>
          <w:rFonts w:eastAsia="方正仿宋简体"/>
          <w:sz w:val="30"/>
          <w:szCs w:val="30"/>
        </w:rPr>
      </w:pPr>
      <w:r>
        <w:rPr>
          <w:rFonts w:eastAsia="方正仿宋简体"/>
          <w:sz w:val="30"/>
          <w:szCs w:val="30"/>
        </w:rPr>
        <w:t>（一）标准仓单合法持有人提货时，交割仓库在对标准仓单审核无误后予以发货。货主可以自行到库提货或委托交割仓库代为发运</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（二）沥青出库时交割仓库应当对罐内沥青进行加温，沥青出库温度应当不低于130摄氏度，并不得高于160摄氏度</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（三）出库检验</w:t>
      </w:r>
    </w:p>
    <w:p>
      <w:pPr>
        <w:spacing w:line="560" w:lineRule="exact"/>
        <w:ind w:firstLine="600" w:firstLineChars="200"/>
        <w:rPr>
          <w:rFonts w:eastAsia="方正仿宋简体"/>
          <w:sz w:val="30"/>
          <w:szCs w:val="30"/>
        </w:rPr>
      </w:pPr>
      <w:r>
        <w:rPr>
          <w:rFonts w:eastAsia="方正仿宋简体"/>
          <w:sz w:val="30"/>
          <w:szCs w:val="30"/>
        </w:rPr>
        <w:t>标准仓单合法持有人提货时，应当委托交易所指定检验机构对交割沥青的质量和重量进行现场检验。沥青出库的重量检验以指定检验机构签发的重量检验报告为准。质量检验以岸罐内取样为准。样品应当分为A、B两份，A样用于化验，B样封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未委托交易所指定检验机构进行检验的，视为认可交割仓库发货无误，交割仓库不再受理交割沥青有异议的申请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（四）受理质量争议</w:t>
      </w:r>
    </w:p>
    <w:p>
      <w:pPr>
        <w:spacing w:line="560" w:lineRule="exact"/>
        <w:ind w:firstLine="600" w:firstLineChars="200"/>
        <w:rPr>
          <w:rFonts w:eastAsia="方正仿宋简体"/>
          <w:sz w:val="30"/>
          <w:szCs w:val="30"/>
        </w:rPr>
      </w:pPr>
      <w:r>
        <w:rPr>
          <w:rFonts w:eastAsia="方正仿宋简体"/>
          <w:sz w:val="30"/>
          <w:szCs w:val="30"/>
        </w:rPr>
        <w:t>标准仓单合法持有人对交割沥青的质量有异议的，应当在实物交收完成后十个工作日内，向交割仓库提出书面申请，并应当同时提供交易所指定检验机构出具的质量鉴定结论。逾期未提出申请的，视为标准仓单合法持有人对所交割沥青无异议，交割仓库不再受理交割沥青有异议的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（五）填制出库确认单</w:t>
      </w:r>
    </w:p>
    <w:p>
      <w:pPr>
        <w:spacing w:line="560" w:lineRule="exact"/>
        <w:ind w:firstLine="600" w:firstLineChars="200"/>
        <w:rPr>
          <w:rFonts w:eastAsia="方正仿宋简体"/>
          <w:sz w:val="30"/>
          <w:szCs w:val="30"/>
        </w:rPr>
      </w:pPr>
      <w:r>
        <w:rPr>
          <w:rFonts w:eastAsia="方正仿宋简体"/>
          <w:sz w:val="30"/>
          <w:szCs w:val="30"/>
        </w:rPr>
        <w:t>交割仓库发货时，应当及时填制《标准仓单出库确认单》（一式二份，货主和交割仓库各执一份），并妥善保管备查</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在交割地进行的实物交收，运输由买卖双方自行解决</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沥青自验收合格入库后至沥青出库期间，交割仓库对所储存的沥青质量、数量、安全等承担全部责任。交易所每年将对在库沥青的质量进行检验。</w:t>
      </w:r>
    </w:p>
    <w:p>
      <w:pPr>
        <w:spacing w:line="560" w:lineRule="exact"/>
        <w:jc w:val="center"/>
        <w:rPr>
          <w:rFonts w:eastAsia="方正仿宋简体"/>
          <w:b/>
          <w:color w:val="0D0D0D"/>
          <w:sz w:val="30"/>
          <w:szCs w:val="30"/>
        </w:rPr>
      </w:pPr>
      <w:r>
        <w:rPr>
          <w:rFonts w:eastAsia="方正仿宋简体"/>
          <w:b/>
          <w:color w:val="0D0D0D"/>
          <w:sz w:val="30"/>
          <w:szCs w:val="30"/>
        </w:rPr>
        <w:t>第三节</w:t>
      </w:r>
      <w:r>
        <w:rPr>
          <w:rFonts w:hint="eastAsia" w:eastAsia="方正仿宋简体"/>
          <w:b/>
          <w:color w:val="0D0D0D"/>
          <w:sz w:val="30"/>
          <w:szCs w:val="30"/>
        </w:rPr>
        <w:t xml:space="preserve"> </w:t>
      </w:r>
      <w:r>
        <w:rPr>
          <w:rFonts w:eastAsia="方正仿宋简体"/>
          <w:b/>
          <w:color w:val="0D0D0D"/>
          <w:sz w:val="30"/>
          <w:szCs w:val="30"/>
        </w:rPr>
        <w:t>厂库交割</w:t>
      </w:r>
    </w:p>
    <w:p>
      <w:pPr>
        <w:spacing w:line="560" w:lineRule="exact"/>
        <w:ind w:firstLine="602" w:firstLineChars="200"/>
        <w:rPr>
          <w:rFonts w:eastAsia="方正仿宋简体"/>
          <w:sz w:val="30"/>
          <w:szCs w:val="30"/>
        </w:rPr>
      </w:pPr>
      <w:r>
        <w:rPr>
          <w:rFonts w:eastAsia="方正仿宋简体"/>
          <w:b/>
          <w:sz w:val="30"/>
          <w:szCs w:val="30"/>
        </w:rPr>
        <w:t>第三十五条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厂库签发厂库标准仓单前，须向交易所提交签发申请。申请内容包括品种、会员单位、货主名称、拟申请签发标准仓单数量等。</w:t>
      </w:r>
    </w:p>
    <w:p>
      <w:pPr>
        <w:spacing w:line="560" w:lineRule="exact"/>
        <w:ind w:firstLine="602" w:firstLineChars="200"/>
        <w:rPr>
          <w:rFonts w:eastAsia="方正仿宋简体"/>
          <w:sz w:val="30"/>
          <w:szCs w:val="30"/>
        </w:rPr>
      </w:pPr>
      <w:r>
        <w:rPr>
          <w:rFonts w:eastAsia="方正仿宋简体"/>
          <w:b/>
          <w:color w:val="0D0D0D"/>
          <w:sz w:val="30"/>
          <w:szCs w:val="30"/>
        </w:rPr>
        <w:t>第三十六条</w:t>
      </w:r>
      <w:r>
        <w:rPr>
          <w:rFonts w:eastAsia="方正仿宋简体"/>
          <w:b/>
          <w:color w:val="FF0000"/>
          <w:sz w:val="30"/>
          <w:szCs w:val="30"/>
        </w:rPr>
        <w:t xml:space="preserve"> </w:t>
      </w:r>
      <w:r>
        <w:rPr>
          <w:rFonts w:eastAsia="方正仿宋简体"/>
          <w:sz w:val="30"/>
          <w:szCs w:val="30"/>
        </w:rPr>
        <w:t>每年9月15日（遇法定假日顺延）之前生成的厂库标准仓单，应当在10月的最后一个工作日（含该日）之前全部注销。</w:t>
      </w:r>
    </w:p>
    <w:p>
      <w:pPr>
        <w:spacing w:line="560" w:lineRule="exact"/>
        <w:ind w:firstLine="602" w:firstLineChars="200"/>
        <w:rPr>
          <w:rFonts w:eastAsia="方正仿宋简体"/>
          <w:sz w:val="30"/>
          <w:szCs w:val="30"/>
        </w:rPr>
      </w:pPr>
      <w:r>
        <w:rPr>
          <w:rFonts w:eastAsia="方正仿宋简体"/>
          <w:b/>
          <w:color w:val="0D0D0D"/>
          <w:sz w:val="30"/>
          <w:szCs w:val="30"/>
        </w:rPr>
        <w:t>第三十七条</w:t>
      </w:r>
      <w:r>
        <w:rPr>
          <w:rFonts w:hint="eastAsia" w:eastAsia="方正仿宋简体"/>
          <w:b/>
          <w:color w:val="0D0D0D"/>
          <w:sz w:val="30"/>
          <w:szCs w:val="30"/>
        </w:rPr>
        <w:t xml:space="preserve"> </w:t>
      </w:r>
      <w:r>
        <w:rPr>
          <w:rFonts w:eastAsia="方正仿宋简体"/>
          <w:sz w:val="30"/>
          <w:szCs w:val="30"/>
        </w:rPr>
        <w:t>厂库的日发货量是指厂库在24时之内安排沥青发货的最低数量。厂库日发货量的确定和调整，需经交易所批准并予以公布。厂库不得擅自更改日发货量，生产企业因正常检修等原因需要调整日发货量应当提前报批交易所。</w:t>
      </w:r>
    </w:p>
    <w:p>
      <w:pPr>
        <w:spacing w:line="560" w:lineRule="exact"/>
        <w:ind w:firstLine="602" w:firstLineChars="200"/>
        <w:rPr>
          <w:rFonts w:eastAsia="方正仿宋简体"/>
          <w:sz w:val="30"/>
          <w:szCs w:val="30"/>
        </w:rPr>
      </w:pPr>
      <w:r>
        <w:rPr>
          <w:rFonts w:eastAsia="方正仿宋简体"/>
          <w:b/>
          <w:sz w:val="30"/>
          <w:szCs w:val="30"/>
        </w:rPr>
        <w:t>第三十八条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在拟提货月前一月的25日之前（遇法定假日提前）通过标准仓单管理系统向厂库提交提货申请。申请内容包括品种、数量、拟提货日、提货方式、提货计划（每日提货量）、提货人身份证号码、联系电话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（二）厂库在货主提交提货申请后的2个工作日内、参照货主提交的提货日、提货计划及企业的生产计划等，确认货主的提货申请。</w:t>
      </w:r>
    </w:p>
    <w:p>
      <w:pPr>
        <w:spacing w:line="560" w:lineRule="exact"/>
        <w:ind w:firstLine="600" w:firstLineChars="200"/>
        <w:rPr>
          <w:rFonts w:eastAsia="方正仿宋简体"/>
          <w:color w:val="FF0000"/>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2个工作日内，向货主提供一个可供选择的提货时间范围和发货计划（每日发货量）。货主无异议的，可选择并确定其中一天为提货日，并确定发货计划。有异议的，可重新和厂库协商直至双方确定一致的提货日和发货计划。厂库应在拟提货月的首日起逐日安排发货。货主与厂库另有约定的除外。</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autoSpaceDE w:val="0"/>
        <w:autoSpaceDN w:val="0"/>
        <w:adjustRightInd w:val="0"/>
        <w:spacing w:line="560" w:lineRule="exact"/>
        <w:ind w:firstLine="602" w:firstLineChars="200"/>
        <w:rPr>
          <w:rFonts w:eastAsia="方正仿宋简体"/>
          <w:sz w:val="30"/>
          <w:szCs w:val="30"/>
        </w:rPr>
      </w:pPr>
      <w:r>
        <w:rPr>
          <w:rFonts w:eastAsia="方正仿宋简体"/>
          <w:b/>
          <w:color w:val="0D0D0D"/>
          <w:sz w:val="30"/>
          <w:szCs w:val="30"/>
        </w:rPr>
        <w:t>第三十九条</w:t>
      </w:r>
      <w:r>
        <w:rPr>
          <w:rFonts w:eastAsia="方正仿宋简体"/>
          <w:b/>
          <w:color w:val="FF0000"/>
          <w:sz w:val="30"/>
          <w:szCs w:val="30"/>
        </w:rPr>
        <w:t xml:space="preserve"> </w:t>
      </w:r>
      <w:r>
        <w:rPr>
          <w:rFonts w:eastAsia="方正仿宋简体"/>
          <w:sz w:val="30"/>
          <w:szCs w:val="30"/>
        </w:rPr>
        <w:t>出库沥青重量以厂库重量检验为准。沥青出库时发生的溢短（扣除1‰的损耗后）由厂库按照沥青出库当日前一交易日交易所挂牌交易的最近月份对应期货合约的结算价与货主进行结算。</w:t>
      </w:r>
    </w:p>
    <w:p>
      <w:pPr>
        <w:autoSpaceDE w:val="0"/>
        <w:autoSpaceDN w:val="0"/>
        <w:adjustRightInd w:val="0"/>
        <w:spacing w:line="560" w:lineRule="exact"/>
        <w:ind w:firstLine="602" w:firstLineChars="200"/>
        <w:rPr>
          <w:rFonts w:eastAsia="方正仿宋简体"/>
          <w:b/>
          <w:color w:val="FF0000"/>
          <w:sz w:val="30"/>
          <w:szCs w:val="30"/>
        </w:rPr>
      </w:pPr>
      <w:r>
        <w:rPr>
          <w:rFonts w:eastAsia="方正仿宋简体"/>
          <w:b/>
          <w:color w:val="0D0D0D"/>
          <w:sz w:val="30"/>
          <w:szCs w:val="30"/>
        </w:rPr>
        <w:t>第四十条</w:t>
      </w:r>
      <w:r>
        <w:rPr>
          <w:rFonts w:eastAsia="方正仿宋简体"/>
          <w:b/>
          <w:color w:val="FF0000"/>
          <w:sz w:val="30"/>
          <w:szCs w:val="30"/>
        </w:rPr>
        <w:t xml:space="preserve"> </w:t>
      </w:r>
      <w:r>
        <w:rPr>
          <w:rFonts w:eastAsia="方正仿宋简体"/>
          <w:sz w:val="30"/>
          <w:szCs w:val="30"/>
        </w:rPr>
        <w:t>厂库应保证出库沥青的质量符合交易所沥青合约规定的质量标准。沥青出库时，厂库应向货主提供产品质量合格证书，在货主的监督下进行分罐取样，经双方确认后将样品封存。厂库应将沥青样品保留至发货日后的60天，作为发生质量争议时的处理依据。沥青出库温度应当不低于130摄氏度，并不得高于160摄氏度。</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第四十一条</w:t>
      </w:r>
      <w:r>
        <w:rPr>
          <w:rFonts w:eastAsia="方正仿宋简体"/>
          <w:sz w:val="30"/>
          <w:szCs w:val="30"/>
        </w:rPr>
        <w:t xml:space="preserve"> 货主应按约定的提货日和提货计划到厂库提货。过了提货日但在约定的提货日后7日内（含第7日）到厂库提货，或因非厂库过错的原因而无法按约定的日提货计划提货，厂库仍应按交割沥青期货标准承担有关商品质量的责任，并按当时各货主的提货情况统一安排发货计划，直至全部发完。货主应向厂库支付滞纳金。</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滞纳金金额=5元/吨</w:t>
      </w:r>
      <w:r>
        <w:rPr>
          <w:rFonts w:hint="eastAsia" w:eastAsia="方正仿宋简体"/>
          <w:sz w:val="30"/>
          <w:szCs w:val="30"/>
        </w:rPr>
        <w:t>·</w:t>
      </w:r>
      <w:r>
        <w:rPr>
          <w:rFonts w:eastAsia="方正仿宋简体"/>
          <w:sz w:val="30"/>
          <w:szCs w:val="30"/>
        </w:rPr>
        <w:t>天×应提而未提的商品数量×该批商品的滞留天数</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对因货主原因而造成发货延迟的处理，双方约定另行协商处理的，则按双方协商而定。</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第四十二条</w:t>
      </w:r>
      <w:r>
        <w:rPr>
          <w:rFonts w:eastAsia="方正仿宋简体"/>
          <w:sz w:val="30"/>
          <w:szCs w:val="30"/>
        </w:rPr>
        <w:t xml:space="preserve"> 货主未在约定的提货日后7日内（含第7日）到厂库提货，厂库标准仓单被注销，货主须向厂库支付滞纳金，对应商品转为现货，具体提货事宜由双方自行协商。</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滞纳金金额=35元/吨×应提而未提的商品数量</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第四十三条</w:t>
      </w:r>
      <w:r>
        <w:rPr>
          <w:rFonts w:eastAsia="方正仿宋简体"/>
          <w:sz w:val="30"/>
          <w:szCs w:val="30"/>
        </w:rPr>
        <w:t xml:space="preserve"> 货主在提货日到库提货，厂库未按约定的发货计划发货，但在约定的提货日后7日内（含第7日）开始按计划发货，厂库应向货主支付赔偿金。</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赔偿金金额=50元/吨×按日发货计划应发而未发的商品数量</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第四十四条</w:t>
      </w:r>
      <w:r>
        <w:rPr>
          <w:rFonts w:eastAsia="方正仿宋简体"/>
          <w:sz w:val="30"/>
          <w:szCs w:val="30"/>
        </w:rPr>
        <w:t xml:space="preserve"> 厂库在约定的提货日后7日（含第7日）内未开始按日发货计划发货，货主可做如下选择：</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（一）货主在约定提货日后的第7日向厂库提出自约定提货日后的第8日起，终止接受厂库应发而未发的剩余商品，厂库须向货主返还货款并支付追加赔偿金。</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返还货款和追加赔偿金的金额=赔偿结算价×应发而未发的商品数量×120%</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赔偿结算价为约定提货日后的第8日前一交易日交易所挂牌交易的最近月份对应期货合约的结算价。</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（二）货主在约定提货日后的第7日未向厂库提出终止接受厂库应发而未发的剩余商品，则剩余商品具体提货事宜由双方自行协商。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第四十五条</w:t>
      </w:r>
      <w:r>
        <w:rPr>
          <w:rFonts w:eastAsia="方正仿宋简体"/>
          <w:sz w:val="30"/>
          <w:szCs w:val="30"/>
        </w:rPr>
        <w:t xml:space="preserve"> 当厂库发生第四十三条、第四十四条中的违约行为时，首先由厂库直接向货主支付赔偿金。厂库未支付的或支付数额不足的，交易所按照以下步骤向货主支付赔偿金：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（一）动用厂库提供的银行履约保函或其它担保方式支付；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第四十六条</w:t>
      </w:r>
      <w:r>
        <w:rPr>
          <w:rFonts w:eastAsia="方正仿宋简体"/>
          <w:sz w:val="30"/>
          <w:szCs w:val="30"/>
        </w:rPr>
        <w:t xml:space="preserve"> 当货主发生第四十一条、第四十二条中的违约行为时，首先由货主直接向厂库支付赔偿金。货主未支付的或支付数额不足的，厂库可通过包括法律程序在内的其他手段向货主追索。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第四十七条</w:t>
      </w:r>
      <w:r>
        <w:rPr>
          <w:rFonts w:eastAsia="方正仿宋简体"/>
          <w:sz w:val="30"/>
          <w:szCs w:val="30"/>
        </w:rPr>
        <w:t xml:space="preserve"> 当发生第四十一条、第四十二条、第四十三条、第四十四条所述情况而给厂库或货主其中一方造成损失，如双方约定另行协商处理，则按双方协议而定，书面协议报交易所备案。</w:t>
      </w:r>
    </w:p>
    <w:p>
      <w:pPr>
        <w:tabs>
          <w:tab w:val="left" w:pos="420"/>
          <w:tab w:val="center" w:pos="4153"/>
          <w:tab w:val="right" w:pos="8306"/>
        </w:tabs>
        <w:snapToGrid w:val="0"/>
        <w:spacing w:line="560" w:lineRule="exact"/>
        <w:ind w:firstLine="602" w:firstLineChars="200"/>
        <w:rPr>
          <w:rFonts w:eastAsia="方正仿宋简体"/>
          <w:sz w:val="30"/>
          <w:szCs w:val="30"/>
        </w:rPr>
      </w:pPr>
      <w:r>
        <w:rPr>
          <w:rFonts w:eastAsia="方正仿宋简体"/>
          <w:b/>
          <w:sz w:val="30"/>
          <w:szCs w:val="30"/>
        </w:rPr>
        <w:t>第四十八条</w:t>
      </w:r>
      <w:r>
        <w:rPr>
          <w:rFonts w:eastAsia="方正仿宋简体"/>
          <w:sz w:val="30"/>
          <w:szCs w:val="30"/>
        </w:rPr>
        <w:t xml:space="preserve"> 质量争议处理</w:t>
      </w:r>
    </w:p>
    <w:p>
      <w:pPr>
        <w:tabs>
          <w:tab w:val="left" w:pos="420"/>
          <w:tab w:val="center" w:pos="4153"/>
          <w:tab w:val="right" w:pos="8306"/>
        </w:tabs>
        <w:snapToGrid w:val="0"/>
        <w:spacing w:line="560" w:lineRule="exact"/>
        <w:ind w:firstLine="600" w:firstLineChars="200"/>
        <w:rPr>
          <w:rFonts w:eastAsia="方正仿宋简体"/>
          <w:sz w:val="30"/>
          <w:szCs w:val="30"/>
        </w:rPr>
      </w:pPr>
      <w:r>
        <w:rPr>
          <w:rFonts w:eastAsia="方正仿宋简体"/>
          <w:sz w:val="30"/>
          <w:szCs w:val="30"/>
        </w:rPr>
        <w:t>厂库标准仓单合法持有人对沥青厂库内存放的交割商品的质量有异议的，须在实物交收完成后十个工作日内，向交易所提出书面申请，并须同时提供交易所指定检验机构出具的质量鉴定结论。逾期未提出申请的，视为厂库标准仓单合法持有人对所交割沥青无异议，交易所不再受理交割沥青有异议的申请。</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第四十九条</w:t>
      </w:r>
      <w:r>
        <w:rPr>
          <w:rFonts w:eastAsia="方正仿宋简体"/>
          <w:sz w:val="30"/>
          <w:szCs w:val="30"/>
        </w:rPr>
        <w:t xml:space="preserve"> 沥青期货合约的最低交易保证金为合约价值的4%。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第五十条</w:t>
      </w:r>
      <w:r>
        <w:rPr>
          <w:rFonts w:eastAsia="方正仿宋简体"/>
          <w:sz w:val="30"/>
          <w:szCs w:val="30"/>
        </w:rPr>
        <w:t xml:space="preserve"> 沥青期货合约上市运行不同阶段的交易保证金收取标准为：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1445" w:firstLineChars="600"/>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沥青交易保证金比例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第五十一条</w:t>
      </w:r>
      <w:r>
        <w:rPr>
          <w:rFonts w:eastAsia="方正仿宋简体"/>
          <w:sz w:val="30"/>
          <w:szCs w:val="30"/>
        </w:rPr>
        <w:t xml:space="preserve"> 沥青期货合约涨跌停板幅度为上一交易日结算价±3%。</w:t>
      </w:r>
    </w:p>
    <w:p>
      <w:pPr>
        <w:spacing w:line="560" w:lineRule="exact"/>
        <w:ind w:firstLine="602" w:firstLineChars="200"/>
        <w:rPr>
          <w:rFonts w:eastAsia="方正仿宋简体"/>
          <w:sz w:val="30"/>
          <w:szCs w:val="30"/>
        </w:rPr>
      </w:pPr>
      <w:r>
        <w:rPr>
          <w:rFonts w:eastAsia="方正仿宋简体"/>
          <w:b/>
          <w:sz w:val="30"/>
          <w:szCs w:val="30"/>
        </w:rPr>
        <w:t>第五十二条</w:t>
      </w:r>
      <w:r>
        <w:rPr>
          <w:rFonts w:eastAsia="方正仿宋简体"/>
          <w:sz w:val="30"/>
          <w:szCs w:val="30"/>
        </w:rPr>
        <w:t xml:space="preserve"> 沥青期货合约在不同时期的限仓比例和限仓数额具体规定如下：</w:t>
      </w:r>
    </w:p>
    <w:p>
      <w:pPr>
        <w:spacing w:line="540" w:lineRule="exact"/>
        <w:ind w:firstLine="480" w:firstLineChars="200"/>
        <w:rPr>
          <w:rFonts w:eastAsia="方正仿宋简体"/>
          <w:sz w:val="30"/>
          <w:szCs w:val="30"/>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40"/>
        <w:gridCol w:w="1600"/>
        <w:gridCol w:w="1089"/>
        <w:gridCol w:w="1274"/>
        <w:gridCol w:w="1047"/>
        <w:gridCol w:w="1398"/>
        <w:gridCol w:w="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622" w:type="pct"/>
            <w:vMerge w:val="restart"/>
            <w:vAlign w:val="center"/>
          </w:tcPr>
          <w:p>
            <w:pPr>
              <w:spacing w:line="560" w:lineRule="exact"/>
              <w:jc w:val="center"/>
              <w:rPr>
                <w:rFonts w:eastAsia="方正仿宋简体"/>
                <w:bCs/>
                <w:color w:val="000000"/>
                <w:sz w:val="24"/>
              </w:rPr>
            </w:pPr>
          </w:p>
        </w:tc>
        <w:tc>
          <w:tcPr>
            <w:tcW w:w="1608" w:type="pct"/>
            <w:gridSpan w:val="2"/>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合约挂牌至交割月前第二月的最后一个交易日</w:t>
            </w:r>
          </w:p>
        </w:tc>
        <w:tc>
          <w:tcPr>
            <w:tcW w:w="1388"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交割月前第一月</w:t>
            </w:r>
          </w:p>
        </w:tc>
        <w:tc>
          <w:tcPr>
            <w:tcW w:w="1380"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622" w:type="pct"/>
            <w:vMerge w:val="continue"/>
            <w:vAlign w:val="center"/>
          </w:tcPr>
          <w:p>
            <w:pPr>
              <w:spacing w:line="560" w:lineRule="exact"/>
              <w:jc w:val="center"/>
              <w:rPr>
                <w:rFonts w:eastAsia="方正仿宋简体"/>
                <w:bCs/>
                <w:color w:val="000000"/>
                <w:sz w:val="24"/>
              </w:rPr>
            </w:pPr>
          </w:p>
        </w:tc>
        <w:tc>
          <w:tcPr>
            <w:tcW w:w="1608"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88"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80"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622" w:type="pct"/>
            <w:vMerge w:val="continue"/>
            <w:vAlign w:val="center"/>
          </w:tcPr>
          <w:p>
            <w:pPr>
              <w:spacing w:line="560" w:lineRule="exact"/>
              <w:jc w:val="center"/>
              <w:rPr>
                <w:rFonts w:eastAsia="方正仿宋简体"/>
                <w:bCs/>
                <w:color w:val="000000"/>
                <w:sz w:val="24"/>
              </w:rPr>
            </w:pPr>
          </w:p>
        </w:tc>
        <w:tc>
          <w:tcPr>
            <w:tcW w:w="957" w:type="pct"/>
            <w:vAlign w:val="center"/>
          </w:tcPr>
          <w:p>
            <w:pPr>
              <w:spacing w:line="560" w:lineRule="exact"/>
              <w:jc w:val="center"/>
              <w:rPr>
                <w:rFonts w:eastAsia="方正仿宋简体"/>
                <w:bCs/>
                <w:color w:val="000000"/>
                <w:sz w:val="24"/>
              </w:rPr>
            </w:pPr>
            <w:r>
              <w:rPr>
                <w:rFonts w:eastAsia="方正仿宋简体"/>
                <w:bCs/>
                <w:color w:val="000000"/>
                <w:sz w:val="24"/>
              </w:rPr>
              <w:t>非期货公司会员</w:t>
            </w:r>
          </w:p>
        </w:tc>
        <w:tc>
          <w:tcPr>
            <w:tcW w:w="650"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762" w:type="pct"/>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625"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836" w:type="pct"/>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543"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622" w:type="pct"/>
            <w:vAlign w:val="center"/>
          </w:tcPr>
          <w:p>
            <w:pPr>
              <w:spacing w:line="560" w:lineRule="exact"/>
              <w:jc w:val="center"/>
              <w:rPr>
                <w:rFonts w:eastAsia="方正仿宋简体"/>
                <w:bCs/>
                <w:color w:val="000000"/>
                <w:sz w:val="24"/>
              </w:rPr>
            </w:pPr>
            <w:r>
              <w:rPr>
                <w:rFonts w:eastAsia="方正仿宋简体"/>
                <w:bCs/>
                <w:color w:val="000000"/>
                <w:sz w:val="24"/>
              </w:rPr>
              <w:t>石油沥青</w:t>
            </w:r>
          </w:p>
        </w:tc>
        <w:tc>
          <w:tcPr>
            <w:tcW w:w="957" w:type="pct"/>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650" w:type="pct"/>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762" w:type="pct"/>
            <w:vAlign w:val="center"/>
          </w:tcPr>
          <w:p>
            <w:pPr>
              <w:spacing w:line="560" w:lineRule="exact"/>
              <w:jc w:val="center"/>
              <w:rPr>
                <w:rFonts w:eastAsia="方正仿宋简体"/>
                <w:bCs/>
                <w:color w:val="000000"/>
                <w:sz w:val="24"/>
              </w:rPr>
            </w:pPr>
            <w:r>
              <w:rPr>
                <w:rFonts w:eastAsia="方正仿宋简体"/>
                <w:bCs/>
                <w:color w:val="000000"/>
                <w:sz w:val="24"/>
              </w:rPr>
              <w:t>1500</w:t>
            </w:r>
          </w:p>
        </w:tc>
        <w:tc>
          <w:tcPr>
            <w:tcW w:w="625" w:type="pct"/>
            <w:vAlign w:val="center"/>
          </w:tcPr>
          <w:p>
            <w:pPr>
              <w:spacing w:line="560" w:lineRule="exact"/>
              <w:jc w:val="center"/>
              <w:rPr>
                <w:rFonts w:eastAsia="方正仿宋简体"/>
                <w:bCs/>
                <w:color w:val="000000"/>
                <w:sz w:val="24"/>
              </w:rPr>
            </w:pPr>
            <w:r>
              <w:rPr>
                <w:rFonts w:eastAsia="方正仿宋简体"/>
                <w:bCs/>
                <w:color w:val="000000"/>
                <w:sz w:val="24"/>
              </w:rPr>
              <w:t>1500</w:t>
            </w:r>
          </w:p>
        </w:tc>
        <w:tc>
          <w:tcPr>
            <w:tcW w:w="836" w:type="pct"/>
            <w:vAlign w:val="center"/>
          </w:tcPr>
          <w:p>
            <w:pPr>
              <w:spacing w:line="560" w:lineRule="exact"/>
              <w:jc w:val="center"/>
              <w:rPr>
                <w:rFonts w:eastAsia="方正仿宋简体"/>
                <w:bCs/>
                <w:color w:val="000000"/>
                <w:sz w:val="24"/>
              </w:rPr>
            </w:pPr>
            <w:r>
              <w:rPr>
                <w:rFonts w:eastAsia="方正仿宋简体"/>
                <w:bCs/>
                <w:color w:val="000000"/>
                <w:sz w:val="24"/>
              </w:rPr>
              <w:t>500</w:t>
            </w:r>
          </w:p>
        </w:tc>
        <w:tc>
          <w:tcPr>
            <w:tcW w:w="543" w:type="pct"/>
            <w:vAlign w:val="center"/>
          </w:tcPr>
          <w:p>
            <w:pPr>
              <w:spacing w:line="560" w:lineRule="exact"/>
              <w:jc w:val="center"/>
              <w:rPr>
                <w:rFonts w:eastAsia="方正仿宋简体"/>
                <w:bCs/>
                <w:color w:val="000000"/>
                <w:sz w:val="24"/>
              </w:rPr>
            </w:pPr>
            <w:r>
              <w:rPr>
                <w:rFonts w:eastAsia="方正仿宋简体"/>
                <w:bCs/>
                <w:color w:val="000000"/>
                <w:sz w:val="24"/>
              </w:rPr>
              <w:t>500</w:t>
            </w:r>
          </w:p>
        </w:tc>
      </w:tr>
    </w:tbl>
    <w:p>
      <w:pPr>
        <w:spacing w:line="560" w:lineRule="exact"/>
        <w:ind w:firstLine="480" w:firstLineChars="200"/>
        <w:rPr>
          <w:rFonts w:eastAsia="方正仿宋简体"/>
          <w:b/>
          <w:sz w:val="30"/>
          <w:szCs w:val="30"/>
          <w:shd w:val="pct10" w:color="auto" w:fill="FFFFFF"/>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 xml:space="preserve">第五十三条 </w:t>
      </w:r>
      <w:r>
        <w:rPr>
          <w:rFonts w:eastAsia="方正仿宋简体"/>
          <w:sz w:val="30"/>
          <w:szCs w:val="30"/>
        </w:rPr>
        <w:t>交易所对某一沥青期货合约采取强制减仓的，其申报平仓数量、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交易者（即客户、非期货公司会员，下同）</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w:t>
      </w:r>
      <w:r>
        <w:rPr>
          <w:rFonts w:eastAsia="方正仿宋简体"/>
          <w:color w:val="000000"/>
          <w:sz w:val="30"/>
          <w:szCs w:val="30"/>
        </w:rPr>
        <w:t>的，且</w:t>
      </w:r>
      <w:r>
        <w:rPr>
          <w:rFonts w:hint="eastAsia" w:eastAsia="方正仿宋简体"/>
          <w:color w:val="000000"/>
          <w:sz w:val="30"/>
          <w:szCs w:val="30"/>
        </w:rPr>
        <w:t>交易者</w:t>
      </w:r>
      <w:r>
        <w:rPr>
          <w:rFonts w:eastAsia="方正仿宋简体"/>
          <w:color w:val="000000"/>
          <w:sz w:val="30"/>
          <w:szCs w:val="30"/>
        </w:rPr>
        <w:t>该沥青期货合约的单位净持仓亏损大于或者等于强制减仓基准日结算价8%的所有申报平仓数量的总和为平仓数量。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单位净持仓盈利大于或者等于强制减仓基准日结算价8%的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的不同分成四级，逐级进行分配。首先分配给属平仓范围内单位净持仓盈利大于或者等于强制减仓基准日结算价8%的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持仓；其次分配给单位净持仓盈利大于或者等于强制减仓基准日结算价4%，小于8%的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持仓；再次分配给单位净持仓盈利小于强制减仓基准日结算价4%的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持仓；最后分配给单位净持仓盈利大于或者等于强制减仓基准日结算价8%的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（四）平仓数量的分配方法。盈利8%以上的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持仓数量大于或者等于申报平仓数量的，根据申报平仓数量与盈利8%以上的</w:t>
      </w:r>
      <w:r>
        <w:rPr>
          <w:rFonts w:hint="eastAsia" w:eastAsia="方正仿宋简体"/>
          <w:color w:val="000000"/>
          <w:sz w:val="30"/>
          <w:szCs w:val="30"/>
        </w:rPr>
        <w:t>一般</w:t>
      </w:r>
      <w:r>
        <w:rPr>
          <w:rFonts w:eastAsia="方正仿宋简体"/>
          <w:color w:val="000000"/>
          <w:sz w:val="30"/>
          <w:szCs w:val="30"/>
        </w:rPr>
        <w:t>持仓数量的比例，将申报平仓数量向盈利8%以上的</w:t>
      </w:r>
      <w:r>
        <w:rPr>
          <w:rFonts w:hint="eastAsia" w:eastAsia="方正仿宋简体"/>
          <w:color w:val="000000"/>
          <w:sz w:val="30"/>
          <w:szCs w:val="30"/>
        </w:rPr>
        <w:t>一般</w:t>
      </w:r>
      <w:r>
        <w:rPr>
          <w:rFonts w:eastAsia="方正仿宋简体"/>
          <w:color w:val="000000"/>
          <w:sz w:val="30"/>
          <w:szCs w:val="30"/>
        </w:rPr>
        <w:t>持仓分配实际平仓数量；盈利8%以上的</w:t>
      </w:r>
      <w:r>
        <w:rPr>
          <w:rFonts w:hint="eastAsia" w:eastAsia="方正仿宋简体"/>
          <w:color w:val="000000"/>
          <w:sz w:val="30"/>
          <w:szCs w:val="30"/>
        </w:rPr>
        <w:t>一般</w:t>
      </w:r>
      <w:r>
        <w:rPr>
          <w:rFonts w:eastAsia="方正仿宋简体"/>
          <w:color w:val="000000"/>
          <w:sz w:val="30"/>
          <w:szCs w:val="30"/>
        </w:rPr>
        <w:t>持仓数量小于申报平仓数量的，根据盈利8%以上的</w:t>
      </w:r>
      <w:r>
        <w:rPr>
          <w:rFonts w:hint="eastAsia" w:eastAsia="方正仿宋简体"/>
          <w:color w:val="000000"/>
          <w:sz w:val="30"/>
          <w:szCs w:val="30"/>
        </w:rPr>
        <w:t>一般</w:t>
      </w:r>
      <w:r>
        <w:rPr>
          <w:rFonts w:eastAsia="方正仿宋简体"/>
          <w:color w:val="000000"/>
          <w:sz w:val="30"/>
          <w:szCs w:val="30"/>
        </w:rPr>
        <w:t>持仓数量与申报平仓数量的比例，将盈利8%以上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分配实际平仓数量。再把剩余的申报平仓数量按上述的分配方法向盈利4%以上的</w:t>
      </w:r>
      <w:r>
        <w:rPr>
          <w:rFonts w:hint="eastAsia" w:eastAsia="方正仿宋简体"/>
          <w:color w:val="000000"/>
          <w:sz w:val="30"/>
          <w:szCs w:val="30"/>
        </w:rPr>
        <w:t>一般</w:t>
      </w:r>
      <w:r>
        <w:rPr>
          <w:rFonts w:eastAsia="方正仿宋简体"/>
          <w:color w:val="000000"/>
          <w:sz w:val="30"/>
          <w:szCs w:val="30"/>
        </w:rPr>
        <w:t>持仓分配；还有剩余的，再向盈利4%以下的</w:t>
      </w:r>
      <w:r>
        <w:rPr>
          <w:rFonts w:hint="eastAsia" w:eastAsia="方正仿宋简体"/>
          <w:color w:val="000000"/>
          <w:sz w:val="30"/>
          <w:szCs w:val="30"/>
        </w:rPr>
        <w:t>一般</w:t>
      </w:r>
      <w:r>
        <w:rPr>
          <w:rFonts w:eastAsia="方正仿宋简体"/>
          <w:color w:val="000000"/>
          <w:sz w:val="30"/>
          <w:szCs w:val="30"/>
        </w:rPr>
        <w:t>持仓分配；再有剩余的，再向盈利8%以上的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第五十四条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第五十五条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第五十六条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第五十七条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cs="Arial"/>
          <w:color w:val="000000"/>
          <w:kern w:val="0"/>
          <w:sz w:val="28"/>
          <w:szCs w:val="28"/>
        </w:rPr>
      </w:pPr>
      <w:r>
        <w:rPr>
          <w:rFonts w:eastAsia="方正仿宋简体" w:cs="Arial"/>
          <w:color w:val="000000"/>
          <w:kern w:val="0"/>
          <w:sz w:val="28"/>
          <w:szCs w:val="28"/>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上海期货交易所丁二烯橡胶期货业务细则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ind w:firstLine="480" w:firstLineChars="200"/>
        <w:jc w:val="center"/>
        <w:rPr>
          <w:rFonts w:ascii="楷体" w:hAnsi="楷体" w:eastAsia="楷体"/>
          <w:sz w:val="24"/>
          <w:szCs w:val="30"/>
          <w:shd w:val="clear" w:color="auto" w:fill="FFFFFF"/>
        </w:rPr>
      </w:pPr>
    </w:p>
    <w:p>
      <w:pPr>
        <w:spacing w:line="560" w:lineRule="exact"/>
        <w:jc w:val="center"/>
        <w:rPr>
          <w:rFonts w:ascii="黑体" w:hAnsi="黑体" w:eastAsia="黑体"/>
          <w:sz w:val="30"/>
          <w:szCs w:val="30"/>
        </w:rPr>
      </w:pPr>
      <w:r>
        <w:rPr>
          <w:rFonts w:hint="eastAsia" w:ascii="黑体" w:hAnsi="黑体" w:eastAsia="黑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为了规范上海期货交易所（以下简称交易所）丁二烯橡胶期货相关业务，根据《上海期货交易所交易规则》《上海期货交易所丁二烯橡胶期货合约》以及相关业务规则，制定本细则。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第三条 </w:t>
      </w:r>
      <w:r>
        <w:rPr>
          <w:rFonts w:eastAsia="方正仿宋简体"/>
          <w:sz w:val="30"/>
          <w:szCs w:val="30"/>
        </w:rPr>
        <w:t>丁二烯橡胶期货合约的交易单位为5吨/手。</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第四条 </w:t>
      </w:r>
      <w:r>
        <w:rPr>
          <w:rFonts w:eastAsia="方正仿宋简体"/>
          <w:sz w:val="30"/>
          <w:szCs w:val="30"/>
        </w:rPr>
        <w:t>丁二烯橡胶期货合约的报价单位为元（人民币）/吨。</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第五条 </w:t>
      </w:r>
      <w:r>
        <w:rPr>
          <w:rFonts w:eastAsia="方正仿宋简体"/>
          <w:sz w:val="30"/>
          <w:szCs w:val="30"/>
        </w:rPr>
        <w:t>丁二烯橡胶期货合约的最小变动价位为5元/吨。</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第六条 </w:t>
      </w:r>
      <w:r>
        <w:rPr>
          <w:rFonts w:eastAsia="方正仿宋简体"/>
          <w:sz w:val="30"/>
          <w:szCs w:val="30"/>
        </w:rPr>
        <w:t>丁二烯橡胶期货合约月份为1～12月。</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第七条 </w:t>
      </w:r>
      <w:r>
        <w:rPr>
          <w:rFonts w:eastAsia="方正仿宋简体"/>
          <w:sz w:val="30"/>
          <w:szCs w:val="30"/>
        </w:rPr>
        <w:t>丁二烯橡胶期货合约的交易时间为上午9:00～11:30，下午1:30～3:00和交易所规定的其他交易时间。</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第八条 </w:t>
      </w:r>
      <w:r>
        <w:rPr>
          <w:rFonts w:eastAsia="方正仿宋简体"/>
          <w:sz w:val="30"/>
          <w:szCs w:val="30"/>
        </w:rPr>
        <w:t>丁二烯橡胶期货合约的最后交易日为合约月份的15日，遇国家法定节假日顺延，春节月份等最后交易日交易所可另行调整并通知。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丁二烯橡胶期货合约的交易代码为BR。</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丁二烯橡胶期货套期保值交易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丁二烯橡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eastAsia="方正仿宋简体"/>
          <w:sz w:val="30"/>
          <w:szCs w:val="30"/>
        </w:rPr>
        <w:t>丁二烯橡胶期货临近交割月份套期保值交易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b w:val="0"/>
          <w:bCs w:val="0"/>
          <w:color w:val="auto"/>
          <w:sz w:val="30"/>
          <w:szCs w:val="30"/>
        </w:rPr>
        <w:t>二</w:t>
      </w:r>
      <w:r>
        <w:rPr>
          <w:rFonts w:eastAsia="方正仿宋简体"/>
          <w:sz w:val="30"/>
          <w:szCs w:val="30"/>
        </w:rPr>
        <w:t>月的第一个交易日至交割月前第一月的最后一个交易日之间提出，逾期交易所不再受理；丁二烯橡胶期货临近交割月份套利交易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丁二烯橡胶期货套期保值交易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ind w:firstLine="3000" w:firstLineChars="1000"/>
        <w:rPr>
          <w:rFonts w:ascii="黑体" w:hAnsi="黑体" w:eastAsia="黑体"/>
          <w:sz w:val="30"/>
          <w:szCs w:val="30"/>
        </w:rPr>
      </w:pPr>
      <w:r>
        <w:rPr>
          <w:rFonts w:ascii="黑体" w:hAnsi="黑体"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丁二烯橡胶期货适用期货转现货、仓库交割、厂库交割。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丁二烯橡胶期货实行完税交割。</w:t>
      </w:r>
    </w:p>
    <w:p>
      <w:pPr>
        <w:spacing w:line="560" w:lineRule="exact"/>
        <w:ind w:firstLine="602" w:firstLineChars="200"/>
        <w:rPr>
          <w:rFonts w:eastAsia="方正仿宋简体"/>
          <w:b/>
          <w:sz w:val="30"/>
          <w:szCs w:val="30"/>
        </w:rPr>
      </w:pPr>
      <w:r>
        <w:rPr>
          <w:rFonts w:eastAsia="方正仿宋简体"/>
          <w:b/>
          <w:sz w:val="30"/>
          <w:szCs w:val="30"/>
        </w:rPr>
        <w:t xml:space="preserve">第十四条 </w:t>
      </w:r>
      <w:r>
        <w:rPr>
          <w:rFonts w:eastAsia="方正仿宋简体"/>
          <w:sz w:val="30"/>
          <w:szCs w:val="30"/>
        </w:rPr>
        <w:t>丁二烯橡胶期货的交割品级详见《上海期货交易所丁二烯橡胶期货合约》。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用于实物交割的丁二烯橡胶应当是交易所认证的商品，具体认证商品由交易所认证并公告。</w:t>
      </w:r>
    </w:p>
    <w:p>
      <w:pPr>
        <w:autoSpaceDE w:val="0"/>
        <w:autoSpaceDN w:val="0"/>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第十</w:t>
      </w:r>
      <w:r>
        <w:rPr>
          <w:rFonts w:eastAsia="方正仿宋简体"/>
          <w:b/>
          <w:sz w:val="30"/>
          <w:szCs w:val="30"/>
        </w:rPr>
        <w:t>六</w:t>
      </w:r>
      <w:r>
        <w:rPr>
          <w:rFonts w:eastAsia="方正仿宋简体"/>
          <w:b/>
          <w:color w:val="000000"/>
          <w:kern w:val="0"/>
          <w:sz w:val="30"/>
          <w:szCs w:val="30"/>
        </w:rPr>
        <w:t xml:space="preserve">条 </w:t>
      </w:r>
      <w:r>
        <w:rPr>
          <w:rFonts w:eastAsia="方正仿宋简体"/>
          <w:color w:val="000000"/>
          <w:kern w:val="0"/>
          <w:sz w:val="30"/>
          <w:szCs w:val="30"/>
        </w:rPr>
        <w:t>交割商品的包装</w:t>
      </w:r>
    </w:p>
    <w:p>
      <w:pPr>
        <w:autoSpaceDE w:val="0"/>
        <w:autoSpaceDN w:val="0"/>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一）每一标准仓单的丁二烯橡胶应当是同一生产企业生产、同一品牌、同一牌号、同一包装规格的商品组成。组成每一标准仓单的丁二烯橡胶的生产日期应当不超过连续30日，且以最早日期作为该标准仓单的生产日期。</w:t>
      </w:r>
    </w:p>
    <w:p>
      <w:pPr>
        <w:autoSpaceDE w:val="0"/>
        <w:autoSpaceDN w:val="0"/>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（二）用于交割的丁二烯橡胶，应当符合交易所认证商品的包装要求，每件胶包外包装应当明显标出用以识别的产品名称等信息。</w:t>
      </w:r>
    </w:p>
    <w:p>
      <w:pPr>
        <w:autoSpaceDE w:val="0"/>
        <w:autoSpaceDN w:val="0"/>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（三）用于交割的丁二烯橡胶外包装应当用聚乙烯薄膜和复合塑料编织袋或者交易所认可的其他形式包装。每袋丁二烯橡胶净含量25kg或者交易所认可的其他包装单元。</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 xml:space="preserve">交割商品必备单证 </w:t>
      </w:r>
    </w:p>
    <w:p>
      <w:pPr>
        <w:spacing w:line="560" w:lineRule="exact"/>
        <w:ind w:firstLine="600" w:firstLineChars="200"/>
        <w:rPr>
          <w:rFonts w:eastAsia="方正仿宋简体"/>
          <w:sz w:val="30"/>
          <w:szCs w:val="30"/>
        </w:rPr>
      </w:pPr>
      <w:r>
        <w:rPr>
          <w:rFonts w:eastAsia="方正仿宋简体"/>
          <w:sz w:val="30"/>
          <w:szCs w:val="30"/>
        </w:rPr>
        <w:t>（一）国产商品：应当提供交易所指定检验机构出具的检验证书以及认证商品的生产企业出具的产品质量证明书。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（二）进口商品：应当提供交易所指定检验机构出具的检验证书、与实物一致的进口货物报关单、海关代征增值税专用缴款书、提单、产品质量证明书等材料，经交易所审定合格为有效。</w:t>
      </w:r>
    </w:p>
    <w:p>
      <w:pPr>
        <w:autoSpaceDE w:val="0"/>
        <w:autoSpaceDN w:val="0"/>
        <w:adjustRightInd w:val="0"/>
        <w:spacing w:line="560" w:lineRule="exact"/>
        <w:ind w:firstLine="601"/>
        <w:rPr>
          <w:rFonts w:eastAsia="方正仿宋简体"/>
          <w:sz w:val="30"/>
          <w:szCs w:val="30"/>
        </w:rPr>
      </w:pPr>
      <w:r>
        <w:rPr>
          <w:rFonts w:eastAsia="方正仿宋简体"/>
          <w:sz w:val="30"/>
          <w:szCs w:val="30"/>
        </w:rPr>
        <w:t>国家税收、海关等政策调整的，应当遵守其规定，相关进口商品的单证要求由交易所另行发布。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十八</w:t>
      </w:r>
      <w:r>
        <w:rPr>
          <w:rFonts w:eastAsia="方正仿宋简体"/>
          <w:b/>
          <w:color w:val="000000"/>
          <w:kern w:val="0"/>
          <w:sz w:val="30"/>
          <w:szCs w:val="30"/>
        </w:rPr>
        <w:t xml:space="preserve">条 </w:t>
      </w:r>
      <w:r>
        <w:rPr>
          <w:rFonts w:eastAsia="方正仿宋简体"/>
          <w:color w:val="000000"/>
          <w:kern w:val="0"/>
          <w:sz w:val="30"/>
          <w:szCs w:val="30"/>
        </w:rPr>
        <w:t>计量和溢短</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丁二烯橡胶交割以包装标识净重或净含量计重。每一标准仓单的国产丁二烯橡胶无溢短，每一标准仓单的进口丁二烯橡胶溢短不超过±5%。</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十九</w:t>
      </w:r>
      <w:r>
        <w:rPr>
          <w:rFonts w:eastAsia="方正仿宋简体"/>
          <w:b/>
          <w:color w:val="000000"/>
          <w:kern w:val="0"/>
          <w:sz w:val="30"/>
          <w:szCs w:val="30"/>
        </w:rPr>
        <w:t>条</w:t>
      </w:r>
      <w:r>
        <w:rPr>
          <w:rFonts w:eastAsia="方正仿宋简体"/>
          <w:color w:val="000000"/>
          <w:kern w:val="0"/>
          <w:sz w:val="30"/>
          <w:szCs w:val="30"/>
        </w:rPr>
        <w:t xml:space="preserve"> 丁二烯橡胶期货合约的交割单位为每一标准仓单10吨。</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第二十条</w:t>
      </w:r>
      <w:r>
        <w:rPr>
          <w:rFonts w:eastAsia="方正仿宋简体"/>
          <w:color w:val="000000"/>
          <w:kern w:val="0"/>
          <w:sz w:val="30"/>
          <w:szCs w:val="30"/>
        </w:rPr>
        <w:t xml:space="preserve"> 丁二烯橡胶期货合约的交割日期为最后交易日后连续二个工作日。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 xml:space="preserve">一条 </w:t>
      </w:r>
      <w:r>
        <w:rPr>
          <w:rFonts w:eastAsia="方正仿宋简体"/>
          <w:sz w:val="30"/>
          <w:szCs w:val="30"/>
        </w:rPr>
        <w:t>丁二烯橡胶期货合约交割结算的基准价为该合约最后5个有成交交易日的结算价的算术平均值。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 xml:space="preserve">二条 </w:t>
      </w:r>
      <w:r>
        <w:rPr>
          <w:rFonts w:eastAsia="方正仿宋简体"/>
          <w:sz w:val="30"/>
          <w:szCs w:val="30"/>
        </w:rPr>
        <w:t>交割地点：交易所交割仓库、交割厂库，由交易所另行公告。</w:t>
      </w:r>
    </w:p>
    <w:p>
      <w:pPr>
        <w:spacing w:line="560" w:lineRule="exact"/>
        <w:ind w:firstLine="602" w:firstLineChars="200"/>
        <w:rPr>
          <w:rFonts w:eastAsia="方正仿宋简体"/>
          <w:b/>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 xml:space="preserve">三条 </w:t>
      </w:r>
      <w:r>
        <w:rPr>
          <w:rFonts w:eastAsia="方正仿宋简体"/>
          <w:sz w:val="30"/>
          <w:szCs w:val="30"/>
        </w:rPr>
        <w:t>期转现使用标准仓单并通过交易所结算发生丁二烯橡胶交割实物质量纠纷的，买方应当在货款和标准仓单交换日后的25天内提出质量异议申请，并应当同时提供交易所指定检验机构出具的质量鉴定结论。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b/>
          <w:sz w:val="30"/>
          <w:szCs w:val="30"/>
        </w:rPr>
      </w:pPr>
      <w:r>
        <w:rPr>
          <w:rFonts w:eastAsia="方正仿宋简体"/>
          <w:b/>
          <w:sz w:val="30"/>
          <w:szCs w:val="30"/>
        </w:rPr>
        <w:t>第二十四条 入出库检验</w:t>
      </w:r>
    </w:p>
    <w:p>
      <w:pPr>
        <w:spacing w:line="560" w:lineRule="exact"/>
        <w:ind w:firstLine="600" w:firstLineChars="200"/>
        <w:rPr>
          <w:rFonts w:eastAsia="方正仿宋简体"/>
          <w:sz w:val="30"/>
          <w:szCs w:val="30"/>
        </w:rPr>
      </w:pPr>
      <w:r>
        <w:rPr>
          <w:rFonts w:eastAsia="方正仿宋简体"/>
          <w:sz w:val="30"/>
          <w:szCs w:val="30"/>
        </w:rPr>
        <w:t>（一）到库丁二烯橡胶应当由交易所指定检验机构进行品质检验，品质检验以指定检验机构检验报告为准，品质检验报告符合交易所规定的质量标准才能生成标准仓单。货主应当确保入库商品符合交易所规定的质量标准。</w:t>
      </w:r>
    </w:p>
    <w:p>
      <w:pPr>
        <w:spacing w:line="560" w:lineRule="exact"/>
        <w:ind w:firstLine="600" w:firstLineChars="200"/>
        <w:rPr>
          <w:rFonts w:eastAsia="方正仿宋简体"/>
          <w:sz w:val="30"/>
          <w:szCs w:val="30"/>
        </w:rPr>
      </w:pPr>
      <w:r>
        <w:rPr>
          <w:rFonts w:eastAsia="方正仿宋简体"/>
          <w:sz w:val="30"/>
          <w:szCs w:val="30"/>
        </w:rPr>
        <w:t>（二）品质检验为抽样检验，抽样地点应当在交割仓库内，严禁在车站、码头等运输途中抽样。以100吨以下（包括100吨）为一个检验批次，超过100吨应当分若干批次检验。每一检验批次的丁二烯橡胶应当由同一生产企业、同一品牌、同一牌号、同一包装规格的商品所组成。</w:t>
      </w:r>
    </w:p>
    <w:p>
      <w:pPr>
        <w:spacing w:line="560" w:lineRule="exact"/>
        <w:ind w:firstLine="600" w:firstLineChars="200"/>
        <w:rPr>
          <w:rFonts w:eastAsia="方正仿宋简体"/>
          <w:sz w:val="30"/>
          <w:szCs w:val="30"/>
        </w:rPr>
      </w:pPr>
      <w:r>
        <w:rPr>
          <w:rFonts w:eastAsia="方正仿宋简体"/>
          <w:sz w:val="30"/>
          <w:szCs w:val="30"/>
        </w:rPr>
        <w:t>（三）交割仓库应当配合指定检验机构的检验工作，并核定丁二烯橡胶入出库数（重）量。</w:t>
      </w:r>
    </w:p>
    <w:p>
      <w:pPr>
        <w:spacing w:line="560" w:lineRule="exact"/>
        <w:ind w:firstLine="602" w:firstLineChars="200"/>
        <w:rPr>
          <w:rFonts w:eastAsia="方正仿宋简体"/>
          <w:sz w:val="30"/>
          <w:szCs w:val="30"/>
        </w:rPr>
      </w:pPr>
      <w:r>
        <w:rPr>
          <w:rFonts w:eastAsia="方正仿宋简体"/>
          <w:b/>
          <w:color w:val="000000"/>
          <w:kern w:val="0"/>
          <w:sz w:val="30"/>
          <w:szCs w:val="30"/>
        </w:rPr>
        <w:t>第</w:t>
      </w:r>
      <w:r>
        <w:rPr>
          <w:rFonts w:eastAsia="方正仿宋简体"/>
          <w:b/>
          <w:sz w:val="30"/>
          <w:szCs w:val="30"/>
        </w:rPr>
        <w:t>二十五</w:t>
      </w:r>
      <w:r>
        <w:rPr>
          <w:rFonts w:eastAsia="方正仿宋简体"/>
          <w:b/>
          <w:color w:val="000000"/>
          <w:kern w:val="0"/>
          <w:sz w:val="30"/>
          <w:szCs w:val="30"/>
        </w:rPr>
        <w:t xml:space="preserve">条 </w:t>
      </w:r>
      <w:r>
        <w:rPr>
          <w:rFonts w:eastAsia="方正仿宋简体"/>
          <w:sz w:val="30"/>
          <w:szCs w:val="30"/>
        </w:rPr>
        <w:t>到库丁二烯橡胶应该包装完整、清洁。交割仓库在验收时应当对整批交割商品进行检查，发现有雨淋、受潮、污染严重、包装薄膜破损导致橡胶与外包装发生粘连等情况的，予以拒收，不得用于交割。</w:t>
      </w:r>
    </w:p>
    <w:p>
      <w:pPr>
        <w:spacing w:line="560" w:lineRule="exact"/>
        <w:ind w:firstLine="600" w:firstLineChars="200"/>
        <w:rPr>
          <w:rFonts w:eastAsia="方正仿宋简体"/>
          <w:sz w:val="30"/>
          <w:szCs w:val="30"/>
        </w:rPr>
      </w:pPr>
      <w:r>
        <w:rPr>
          <w:rFonts w:eastAsia="方正仿宋简体"/>
          <w:sz w:val="30"/>
          <w:szCs w:val="30"/>
        </w:rPr>
        <w:t>出库时，货主发现有包装薄膜破损导致丁二烯橡胶与外包装发生粘连等情况提出异议的，应当由生产企业、交割仓库、卖方或者首次制成仓单的一方配合解决。</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二十六</w:t>
      </w:r>
      <w:r>
        <w:rPr>
          <w:rFonts w:eastAsia="方正仿宋简体"/>
          <w:b/>
          <w:color w:val="000000"/>
          <w:kern w:val="0"/>
          <w:sz w:val="30"/>
          <w:szCs w:val="30"/>
        </w:rPr>
        <w:t xml:space="preserve">条 </w:t>
      </w:r>
      <w:r>
        <w:rPr>
          <w:rFonts w:eastAsia="方正仿宋简体"/>
          <w:color w:val="000000"/>
          <w:kern w:val="0"/>
          <w:sz w:val="30"/>
          <w:szCs w:val="30"/>
        </w:rPr>
        <w:t>用于交割的丁二烯橡胶每一标准仓单的标的实物应当按货位堆放，以100吨为一个堆放货位。</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二十七</w:t>
      </w:r>
      <w:r>
        <w:rPr>
          <w:rFonts w:eastAsia="方正仿宋简体"/>
          <w:b/>
          <w:color w:val="000000"/>
          <w:kern w:val="0"/>
          <w:sz w:val="30"/>
          <w:szCs w:val="30"/>
        </w:rPr>
        <w:t xml:space="preserve">条 </w:t>
      </w:r>
      <w:r>
        <w:rPr>
          <w:rFonts w:eastAsia="方正仿宋简体"/>
          <w:color w:val="000000"/>
          <w:kern w:val="0"/>
          <w:sz w:val="30"/>
          <w:szCs w:val="30"/>
        </w:rPr>
        <w:t>仓库标准仓单有效期</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丁二烯橡胶仓库标准仓单的有效期为生产年份的第二年的6月30日，超过期限的转作现货并注销。</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用于实物交割的丁二烯橡胶，最迟应当在生产日期起六个月内入库完毕，超过期限不得用于交割。</w:t>
      </w:r>
    </w:p>
    <w:p>
      <w:pPr>
        <w:spacing w:line="560" w:lineRule="exact"/>
        <w:ind w:firstLine="602" w:firstLineChars="200"/>
        <w:rPr>
          <w:rFonts w:eastAsia="方正仿宋简体"/>
          <w:sz w:val="30"/>
          <w:szCs w:val="30"/>
        </w:rPr>
      </w:pPr>
      <w:r>
        <w:rPr>
          <w:rFonts w:eastAsia="方正仿宋简体"/>
          <w:b/>
          <w:sz w:val="30"/>
          <w:szCs w:val="30"/>
        </w:rPr>
        <w:t>第二十八条</w:t>
      </w:r>
      <w:r>
        <w:rPr>
          <w:rFonts w:eastAsia="方正仿宋简体"/>
          <w:color w:val="000000"/>
          <w:kern w:val="0"/>
          <w:sz w:val="30"/>
          <w:szCs w:val="30"/>
        </w:rPr>
        <w:t xml:space="preserve"> 实物交割完成后，若买方对交割商品的质量、数量有异议的（有异议的丁二烯橡胶应当在交割仓库内），应当在实物交割月份的下一月份的15日之前（含当日，遇法定假日时顺延至假日后的第一个工作日），向交易所提出书面申请，并应当同时提供交易所指定检验机构出具的质量鉴定结论。用于交割的丁二烯橡胶每批商品的有效期应当涵盖本次交割的最后交割日。即使交割丁二烯橡胶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color w:val="0D0D0D"/>
          <w:sz w:val="30"/>
          <w:szCs w:val="30"/>
        </w:rPr>
      </w:pPr>
      <w:r>
        <w:rPr>
          <w:rFonts w:eastAsia="方正仿宋简体"/>
          <w:b/>
          <w:sz w:val="30"/>
          <w:szCs w:val="30"/>
        </w:rPr>
        <w:t>第</w:t>
      </w:r>
      <w:r>
        <w:rPr>
          <w:rFonts w:hint="eastAsia" w:eastAsia="方正仿宋简体"/>
          <w:b/>
          <w:sz w:val="30"/>
          <w:szCs w:val="30"/>
        </w:rPr>
        <w:t>三</w:t>
      </w:r>
      <w:r>
        <w:rPr>
          <w:rFonts w:eastAsia="方正仿宋简体"/>
          <w:b/>
          <w:color w:val="0D0D0D"/>
          <w:sz w:val="30"/>
          <w:szCs w:val="30"/>
        </w:rPr>
        <w:t>节 厂库交割</w:t>
      </w:r>
    </w:p>
    <w:p>
      <w:pPr>
        <w:spacing w:line="560" w:lineRule="exact"/>
        <w:ind w:firstLine="602" w:firstLineChars="200"/>
        <w:rPr>
          <w:rFonts w:eastAsia="方正仿宋简体"/>
          <w:b/>
          <w:sz w:val="30"/>
          <w:szCs w:val="30"/>
        </w:rPr>
      </w:pPr>
      <w:r>
        <w:rPr>
          <w:rFonts w:eastAsia="方正仿宋简体"/>
          <w:b/>
          <w:sz w:val="30"/>
          <w:szCs w:val="30"/>
        </w:rPr>
        <w:t xml:space="preserve">第二十九条 </w:t>
      </w:r>
      <w:r>
        <w:rPr>
          <w:rFonts w:eastAsia="方正仿宋简体"/>
          <w:sz w:val="30"/>
          <w:szCs w:val="30"/>
        </w:rPr>
        <w:t>丁二烯橡胶厂库的申请和审批、权利和义务、监督管理等规定参照《上海期货交易所交割库管理办法》相关条款执行。交易所有权根据申请人的财务状况、风险管理能力和运营稳健程度，豁免有关单位提供的担保函。</w:t>
      </w:r>
    </w:p>
    <w:p>
      <w:pPr>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申请</w:t>
      </w:r>
    </w:p>
    <w:p>
      <w:pPr>
        <w:spacing w:line="560" w:lineRule="exact"/>
        <w:ind w:firstLine="600" w:firstLineChars="200"/>
        <w:rPr>
          <w:rFonts w:eastAsia="方正仿宋简体"/>
          <w:sz w:val="30"/>
          <w:szCs w:val="30"/>
        </w:rPr>
      </w:pPr>
      <w:r>
        <w:rPr>
          <w:rFonts w:eastAsia="方正仿宋简体"/>
          <w:sz w:val="30"/>
          <w:szCs w:val="30"/>
        </w:rPr>
        <w:t>厂库签发厂库标准仓单前，需向交易所提交厂库标准仓单签发预报。预报内容包括品种、会员单位、货主名称、拟申请签发仓单数量等。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厂库标准仓单的交割有效期为厂库标准仓单生成年份的第二年的6月30日。</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提货申请</w:t>
      </w:r>
    </w:p>
    <w:p>
      <w:pPr>
        <w:spacing w:line="560" w:lineRule="exact"/>
        <w:ind w:firstLine="600" w:firstLineChars="200"/>
        <w:rPr>
          <w:rFonts w:eastAsia="方正仿宋简体"/>
          <w:sz w:val="30"/>
          <w:szCs w:val="30"/>
        </w:rPr>
      </w:pPr>
      <w:r>
        <w:rPr>
          <w:rFonts w:eastAsia="方正仿宋简体"/>
          <w:sz w:val="30"/>
          <w:szCs w:val="30"/>
        </w:rPr>
        <w:t>（一）货主应在拟提货月前一月的20日之前通过标准仓单管理系统向厂库提交提货申请，申请内容包括数量、拟提货日、拟提货地、提货方式、提货计划（每日提货量）、提货人身份证明、联系方式等相关内容。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（二）厂库在货主提交提货申请后的3个工作日内，参照货主提交的提货日、提货地等要求，确认货主的提货申请。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3个工作日内，向货主提供一个可供选择的提货时间范围和发货计划（每日发货量）。货主无异议的，可选择并确定其中一天为提货日，并确定发货计划。有异议的，可重新和厂库协商直至双方确定一致的提货日和发货计划。如协商不成的，厂库应该按申请提货日先后次序发货，同一申请提货日，按申请提交先后排序。</w:t>
      </w:r>
    </w:p>
    <w:p>
      <w:pPr>
        <w:spacing w:line="560" w:lineRule="exact"/>
        <w:ind w:firstLine="600" w:firstLineChars="200"/>
        <w:rPr>
          <w:rFonts w:eastAsia="方正仿宋简体"/>
          <w:sz w:val="30"/>
          <w:szCs w:val="30"/>
        </w:rPr>
      </w:pPr>
      <w:r>
        <w:rPr>
          <w:rFonts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 xml:space="preserve">出库商品的生产日期 </w:t>
      </w:r>
    </w:p>
    <w:p>
      <w:pPr>
        <w:spacing w:line="560" w:lineRule="exact"/>
        <w:ind w:firstLine="600" w:firstLineChars="200"/>
        <w:rPr>
          <w:rFonts w:eastAsia="方正仿宋简体"/>
          <w:sz w:val="30"/>
          <w:szCs w:val="30"/>
        </w:rPr>
      </w:pPr>
      <w:r>
        <w:rPr>
          <w:rFonts w:eastAsia="方正仿宋简体"/>
          <w:sz w:val="30"/>
          <w:szCs w:val="30"/>
        </w:rPr>
        <w:t>出库商品生产日期应在货主和厂库之间已经确定的提货日之前六个月内。</w:t>
      </w:r>
    </w:p>
    <w:p>
      <w:pPr>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溢短结算</w:t>
      </w:r>
    </w:p>
    <w:p>
      <w:pPr>
        <w:spacing w:line="560" w:lineRule="exact"/>
        <w:ind w:firstLine="600" w:firstLineChars="200"/>
        <w:rPr>
          <w:rFonts w:eastAsia="方正仿宋简体"/>
          <w:sz w:val="30"/>
          <w:szCs w:val="30"/>
        </w:rPr>
      </w:pPr>
      <w:r>
        <w:rPr>
          <w:rFonts w:eastAsia="方正仿宋简体"/>
          <w:sz w:val="30"/>
          <w:szCs w:val="30"/>
        </w:rPr>
        <w:t>出库商品重量以出库商品包装标识净重或净含量计重。</w:t>
      </w:r>
    </w:p>
    <w:p>
      <w:pPr>
        <w:spacing w:line="560" w:lineRule="exact"/>
        <w:ind w:firstLine="602" w:firstLineChars="200"/>
        <w:rPr>
          <w:rFonts w:eastAsia="方正仿宋简体"/>
          <w:sz w:val="30"/>
          <w:szCs w:val="30"/>
        </w:rPr>
      </w:pPr>
      <w:r>
        <w:rPr>
          <w:rFonts w:eastAsia="方正仿宋简体"/>
          <w:b/>
          <w:sz w:val="30"/>
          <w:szCs w:val="30"/>
        </w:rPr>
        <w:t>第三十五条</w:t>
      </w:r>
      <w:r>
        <w:rPr>
          <w:rFonts w:eastAsia="方正仿宋简体"/>
          <w:sz w:val="30"/>
          <w:szCs w:val="30"/>
        </w:rPr>
        <w:t xml:space="preserve"> 厂库应保证出库丁二烯橡胶的质量符合交易所丁二烯期货合约规定的质量标准。丁二烯橡胶在出库时，厂库应向货主提供产品质量合格证书。</w:t>
      </w:r>
    </w:p>
    <w:p>
      <w:pPr>
        <w:spacing w:line="560" w:lineRule="exact"/>
        <w:ind w:firstLine="600"/>
        <w:rPr>
          <w:rFonts w:eastAsia="方正仿宋简体"/>
          <w:sz w:val="30"/>
          <w:szCs w:val="30"/>
        </w:rPr>
      </w:pPr>
      <w:r>
        <w:rPr>
          <w:rFonts w:eastAsia="方正仿宋简体"/>
          <w:b/>
          <w:sz w:val="30"/>
          <w:szCs w:val="30"/>
        </w:rPr>
        <w:t>第三十六条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照丁二烯橡胶期货合约规定的质量标准承担有关商品质量的责任，并按照当时各货主的提货情况统一安排发货计划，直至全部发完。货主应向厂库支付滞纳金。</w:t>
      </w:r>
    </w:p>
    <w:p>
      <w:pPr>
        <w:spacing w:line="560" w:lineRule="exact"/>
        <w:ind w:firstLine="6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3元/吨</w:t>
      </w:r>
      <w:r>
        <w:rPr>
          <w:rFonts w:hint="eastAsia" w:eastAsia="方正仿宋简体"/>
          <w:sz w:val="30"/>
          <w:szCs w:val="30"/>
        </w:rPr>
        <w:t>·</w:t>
      </w:r>
      <w:r>
        <w:rPr>
          <w:rFonts w:eastAsia="方正仿宋简体"/>
          <w:sz w:val="30"/>
          <w:szCs w:val="30"/>
        </w:rPr>
        <w:t xml:space="preserve">天×应提而未提的商品数量×该批商品的滞留天数 </w:t>
      </w:r>
    </w:p>
    <w:p>
      <w:pPr>
        <w:spacing w:line="560" w:lineRule="exact"/>
        <w:ind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0"/>
        <w:rPr>
          <w:rFonts w:eastAsia="方正仿宋简体"/>
          <w:sz w:val="30"/>
          <w:szCs w:val="30"/>
        </w:rPr>
      </w:pPr>
      <w:r>
        <w:rPr>
          <w:rFonts w:eastAsia="方正仿宋简体"/>
          <w:b/>
          <w:sz w:val="30"/>
          <w:szCs w:val="30"/>
        </w:rPr>
        <w:t>第三十七条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0"/>
        <w:rPr>
          <w:rFonts w:eastAsia="方正仿宋简体"/>
          <w:sz w:val="30"/>
          <w:szCs w:val="30"/>
        </w:rPr>
      </w:pPr>
      <w:r>
        <w:rPr>
          <w:rFonts w:eastAsia="方正仿宋简体"/>
          <w:b/>
          <w:sz w:val="30"/>
          <w:szCs w:val="30"/>
        </w:rPr>
        <w:t>第三十八条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0"/>
        <w:rPr>
          <w:rFonts w:eastAsia="方正仿宋简体"/>
          <w:sz w:val="30"/>
          <w:szCs w:val="30"/>
        </w:rPr>
      </w:pPr>
      <w:r>
        <w:rPr>
          <w:rFonts w:eastAsia="方正仿宋简体"/>
          <w:b/>
          <w:sz w:val="30"/>
          <w:szCs w:val="30"/>
        </w:rPr>
        <w:t>第三十九条</w:t>
      </w:r>
      <w:r>
        <w:rPr>
          <w:rFonts w:eastAsia="方正仿宋简体"/>
          <w:sz w:val="30"/>
          <w:szCs w:val="30"/>
        </w:rPr>
        <w:t xml:space="preserve"> 厂库在约定的提货日后15日内（含第十五日）未完成按日发货计划相应商品的发货，货主可做如下选择：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 xml:space="preserve">赔偿结算价×应发而未发的商品数量×120% </w:t>
      </w:r>
    </w:p>
    <w:p>
      <w:pPr>
        <w:spacing w:line="560" w:lineRule="exact"/>
        <w:ind w:firstLine="600"/>
        <w:rPr>
          <w:rFonts w:eastAsia="方正仿宋简体"/>
          <w:sz w:val="30"/>
          <w:szCs w:val="30"/>
        </w:rPr>
      </w:pPr>
      <w:r>
        <w:rPr>
          <w:rFonts w:eastAsia="方正仿宋简体"/>
          <w:sz w:val="30"/>
          <w:szCs w:val="30"/>
        </w:rPr>
        <w:t>赔偿结算价为约定提货日后的第16日前一交易日交易所挂牌交易的最近月份对应的期货合约的结算价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第四十条</w:t>
      </w:r>
      <w:r>
        <w:rPr>
          <w:rFonts w:eastAsia="方正仿宋简体"/>
          <w:sz w:val="30"/>
          <w:szCs w:val="30"/>
        </w:rPr>
        <w:t xml:space="preserve"> 当厂库发生第三十八条、第三十九条中的违约行为时，首先由厂库直接向货主支付赔偿金、返还货款和追加赔偿金。厂库未支付的或支付数额不足的，交易所按照以下步骤向货主支付：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b/>
          <w:sz w:val="30"/>
          <w:szCs w:val="30"/>
        </w:rPr>
        <w:t>第四十一条</w:t>
      </w:r>
      <w:r>
        <w:rPr>
          <w:rFonts w:eastAsia="方正仿宋简体"/>
          <w:sz w:val="30"/>
          <w:szCs w:val="30"/>
        </w:rPr>
        <w:t xml:space="preserve"> 当货主发生第三十六条、第三十七条中的违约行为时，首先由货主直接向厂库支付滞纳金。货主未支付的或支付数额不足的，厂库可通过包括法律程序在内的其他手段向货主追索。</w:t>
      </w:r>
    </w:p>
    <w:p>
      <w:pPr>
        <w:spacing w:line="560" w:lineRule="exact"/>
        <w:ind w:firstLine="600"/>
        <w:rPr>
          <w:rFonts w:eastAsia="方正仿宋简体"/>
          <w:sz w:val="30"/>
          <w:szCs w:val="30"/>
        </w:rPr>
      </w:pPr>
      <w:r>
        <w:rPr>
          <w:rFonts w:eastAsia="方正仿宋简体"/>
          <w:b/>
          <w:sz w:val="30"/>
          <w:szCs w:val="30"/>
        </w:rPr>
        <w:t>第四十二条</w:t>
      </w:r>
      <w:r>
        <w:rPr>
          <w:rFonts w:eastAsia="方正仿宋简体"/>
          <w:sz w:val="30"/>
          <w:szCs w:val="30"/>
        </w:rPr>
        <w:t xml:space="preserve"> 当发生第三十六条、第三十七条、第三十八条、第三十九条所述情况而给厂库或货主其中一方造成损失的，如双方约定另行协商处理，则按双方协议而定。书面协议报交易所备案。</w:t>
      </w:r>
    </w:p>
    <w:p>
      <w:pPr>
        <w:spacing w:line="560" w:lineRule="exact"/>
        <w:ind w:firstLine="602" w:firstLineChars="200"/>
        <w:rPr>
          <w:rFonts w:eastAsia="方正仿宋简体"/>
          <w:b/>
          <w:sz w:val="30"/>
          <w:szCs w:val="30"/>
        </w:rPr>
      </w:pPr>
      <w:r>
        <w:rPr>
          <w:rFonts w:eastAsia="方正仿宋简体"/>
          <w:b/>
          <w:sz w:val="30"/>
          <w:szCs w:val="30"/>
        </w:rPr>
        <w:t xml:space="preserve">第四十三条 </w:t>
      </w:r>
      <w:r>
        <w:rPr>
          <w:rFonts w:eastAsia="方正仿宋简体"/>
          <w:sz w:val="30"/>
          <w:szCs w:val="30"/>
        </w:rPr>
        <w:t>厂库标准仓单持有人和厂库经协商同意，可以在提交提货申请时选择协商提货的方式，另行确定发货时间和发货计划，除交易所另有规定外应当注销厂库标准仓单。</w:t>
      </w:r>
    </w:p>
    <w:p>
      <w:pPr>
        <w:spacing w:line="560" w:lineRule="exact"/>
        <w:ind w:firstLine="602" w:firstLineChars="200"/>
        <w:rPr>
          <w:rFonts w:eastAsia="方正仿宋简体"/>
          <w:sz w:val="30"/>
          <w:szCs w:val="30"/>
        </w:rPr>
      </w:pPr>
      <w:r>
        <w:rPr>
          <w:rFonts w:eastAsia="方正仿宋简体"/>
          <w:b/>
          <w:sz w:val="30"/>
          <w:szCs w:val="30"/>
        </w:rPr>
        <w:t xml:space="preserve">第四十四条 </w:t>
      </w:r>
      <w:r>
        <w:rPr>
          <w:rFonts w:eastAsia="方正仿宋简体"/>
          <w:sz w:val="30"/>
          <w:szCs w:val="30"/>
        </w:rPr>
        <w:t>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标准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丁二烯橡胶期货合约的最低交易保证金为合约价值的7%。</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第四十六条 </w:t>
      </w:r>
      <w:r>
        <w:rPr>
          <w:rFonts w:eastAsia="方正仿宋简体"/>
          <w:sz w:val="30"/>
          <w:szCs w:val="30"/>
        </w:rPr>
        <w:t>丁二烯橡胶期货合约上市运行不同阶段的交易保证金收取标准为：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丁二烯橡胶交易保证金比例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第四十七条 </w:t>
      </w:r>
      <w:r>
        <w:rPr>
          <w:rFonts w:eastAsia="方正仿宋简体"/>
          <w:sz w:val="30"/>
          <w:szCs w:val="30"/>
        </w:rPr>
        <w:t>丁二烯橡胶期货合约涨跌停板幅度为上一交易日结算价±5%。</w:t>
      </w:r>
    </w:p>
    <w:p>
      <w:pPr>
        <w:spacing w:line="560" w:lineRule="exact"/>
        <w:ind w:firstLine="602" w:firstLineChars="200"/>
        <w:rPr>
          <w:rFonts w:eastAsia="方正仿宋简体"/>
          <w:sz w:val="30"/>
          <w:szCs w:val="30"/>
        </w:rPr>
      </w:pPr>
      <w:r>
        <w:rPr>
          <w:rFonts w:eastAsia="方正仿宋简体"/>
          <w:b/>
          <w:sz w:val="30"/>
          <w:szCs w:val="30"/>
        </w:rPr>
        <w:t xml:space="preserve">第四十八条 </w:t>
      </w:r>
      <w:r>
        <w:rPr>
          <w:rFonts w:eastAsia="方正仿宋简体"/>
          <w:sz w:val="30"/>
          <w:szCs w:val="30"/>
        </w:rPr>
        <w:t>丁二烯橡胶期货合约在不同时期的限仓比例和限仓数额具体规定如下：</w:t>
      </w:r>
    </w:p>
    <w:p>
      <w:pPr>
        <w:spacing w:line="560" w:lineRule="exact"/>
        <w:ind w:firstLine="480" w:firstLineChars="200"/>
        <w:rPr>
          <w:rFonts w:eastAsia="方正仿宋简体"/>
          <w:sz w:val="30"/>
          <w:szCs w:val="30"/>
        </w:rPr>
      </w:pPr>
      <w:r>
        <w:rPr>
          <w:rFonts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15"/>
        <w:gridCol w:w="1366"/>
        <w:gridCol w:w="1366"/>
        <w:gridCol w:w="855"/>
        <w:gridCol w:w="1025"/>
        <w:gridCol w:w="853"/>
        <w:gridCol w:w="1025"/>
        <w:gridCol w:w="8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607"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p>
        </w:tc>
        <w:tc>
          <w:tcPr>
            <w:tcW w:w="2145" w:type="pct"/>
            <w:gridSpan w:val="3"/>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合约挂牌至交割月前第二月</w:t>
            </w:r>
          </w:p>
          <w:p>
            <w:pPr>
              <w:widowControl/>
              <w:jc w:val="center"/>
              <w:rPr>
                <w:rFonts w:eastAsia="方正仿宋简体"/>
                <w:kern w:val="0"/>
                <w:sz w:val="24"/>
              </w:rPr>
            </w:pPr>
            <w:r>
              <w:rPr>
                <w:rFonts w:eastAsia="方正仿宋简体"/>
                <w:bCs/>
                <w:color w:val="000000"/>
                <w:kern w:val="0"/>
                <w:sz w:val="24"/>
              </w:rPr>
              <w:t>的最后一个交易日</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交割月前</w:t>
            </w:r>
          </w:p>
          <w:p>
            <w:pPr>
              <w:widowControl/>
              <w:jc w:val="center"/>
              <w:rPr>
                <w:rFonts w:eastAsia="方正仿宋简体"/>
                <w:kern w:val="0"/>
                <w:sz w:val="24"/>
              </w:rPr>
            </w:pPr>
            <w:r>
              <w:rPr>
                <w:rFonts w:eastAsia="方正仿宋简体"/>
                <w:bCs/>
                <w:color w:val="000000"/>
                <w:kern w:val="0"/>
                <w:sz w:val="24"/>
              </w:rPr>
              <w:t>第一月</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607"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817" w:type="pct"/>
            <w:vMerge w:val="restart"/>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某一期</w:t>
            </w:r>
          </w:p>
          <w:p>
            <w:pPr>
              <w:widowControl/>
              <w:jc w:val="center"/>
              <w:rPr>
                <w:rFonts w:eastAsia="方正仿宋简体"/>
                <w:kern w:val="0"/>
                <w:sz w:val="24"/>
              </w:rPr>
            </w:pPr>
            <w:r>
              <w:rPr>
                <w:rFonts w:eastAsia="方正仿宋简体"/>
                <w:bCs/>
                <w:color w:val="000000"/>
                <w:kern w:val="0"/>
                <w:sz w:val="24"/>
              </w:rPr>
              <w:t>货合约</w:t>
            </w:r>
          </w:p>
          <w:p>
            <w:pPr>
              <w:widowControl/>
              <w:jc w:val="center"/>
              <w:rPr>
                <w:rFonts w:eastAsia="方正仿宋简体"/>
                <w:kern w:val="0"/>
                <w:sz w:val="24"/>
              </w:rPr>
            </w:pPr>
            <w:r>
              <w:rPr>
                <w:rFonts w:eastAsia="方正仿宋简体"/>
                <w:bCs/>
                <w:color w:val="000000"/>
                <w:kern w:val="0"/>
                <w:sz w:val="24"/>
              </w:rPr>
              <w:t>持仓量</w:t>
            </w:r>
          </w:p>
        </w:tc>
        <w:tc>
          <w:tcPr>
            <w:tcW w:w="1328" w:type="pct"/>
            <w:gridSpan w:val="2"/>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lang w:val="en-US" w:eastAsia="zh-CN"/>
              </w:rPr>
              <w:t>%</w:t>
            </w:r>
            <w:r>
              <w:rPr>
                <w:rFonts w:eastAsia="方正仿宋简体"/>
                <w:bCs/>
                <w:color w:val="000000"/>
                <w:kern w:val="0"/>
                <w:sz w:val="24"/>
              </w:rPr>
              <w:t>）</w:t>
            </w:r>
          </w:p>
          <w:p>
            <w:pPr>
              <w:widowControl/>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607"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817" w:type="pct"/>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方正仿宋简体"/>
                <w:kern w:val="0"/>
                <w:sz w:val="24"/>
              </w:rPr>
            </w:pPr>
          </w:p>
        </w:tc>
        <w:tc>
          <w:tcPr>
            <w:tcW w:w="817"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非期货</w:t>
            </w:r>
          </w:p>
          <w:p>
            <w:pPr>
              <w:widowControl/>
              <w:jc w:val="center"/>
              <w:rPr>
                <w:rFonts w:eastAsia="方正仿宋简体"/>
                <w:kern w:val="0"/>
                <w:sz w:val="24"/>
              </w:rPr>
            </w:pPr>
            <w:r>
              <w:rPr>
                <w:rFonts w:eastAsia="方正仿宋简体"/>
                <w:bCs/>
                <w:color w:val="000000"/>
                <w:kern w:val="0"/>
                <w:sz w:val="24"/>
              </w:rPr>
              <w:t>公司</w:t>
            </w:r>
          </w:p>
          <w:p>
            <w:pPr>
              <w:widowControl/>
              <w:jc w:val="center"/>
              <w:rPr>
                <w:rFonts w:eastAsia="方正仿宋简体"/>
                <w:kern w:val="0"/>
                <w:sz w:val="24"/>
              </w:rPr>
            </w:pPr>
            <w:r>
              <w:rPr>
                <w:rFonts w:eastAsia="方正仿宋简体"/>
                <w:bCs/>
                <w:color w:val="000000"/>
                <w:kern w:val="0"/>
                <w:sz w:val="24"/>
              </w:rPr>
              <w:t>会员</w:t>
            </w:r>
          </w:p>
        </w:tc>
        <w:tc>
          <w:tcPr>
            <w:tcW w:w="511"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客户</w:t>
            </w:r>
          </w:p>
        </w:tc>
        <w:tc>
          <w:tcPr>
            <w:tcW w:w="613"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非期货公司</w:t>
            </w:r>
          </w:p>
          <w:p>
            <w:pPr>
              <w:widowControl/>
              <w:jc w:val="center"/>
              <w:rPr>
                <w:rFonts w:eastAsia="方正仿宋简体"/>
                <w:kern w:val="0"/>
                <w:sz w:val="24"/>
              </w:rPr>
            </w:pPr>
            <w:r>
              <w:rPr>
                <w:rFonts w:eastAsia="方正仿宋简体"/>
                <w:bCs/>
                <w:color w:val="000000"/>
                <w:kern w:val="0"/>
                <w:sz w:val="24"/>
              </w:rPr>
              <w:t>会员</w:t>
            </w:r>
          </w:p>
        </w:tc>
        <w:tc>
          <w:tcPr>
            <w:tcW w:w="510"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客户</w:t>
            </w:r>
          </w:p>
        </w:tc>
        <w:tc>
          <w:tcPr>
            <w:tcW w:w="613"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非期货</w:t>
            </w:r>
          </w:p>
          <w:p>
            <w:pPr>
              <w:widowControl/>
              <w:jc w:val="center"/>
              <w:rPr>
                <w:rFonts w:eastAsia="方正仿宋简体"/>
                <w:kern w:val="0"/>
                <w:sz w:val="24"/>
              </w:rPr>
            </w:pPr>
            <w:r>
              <w:rPr>
                <w:rFonts w:eastAsia="方正仿宋简体"/>
                <w:bCs/>
                <w:color w:val="000000"/>
                <w:kern w:val="0"/>
                <w:sz w:val="24"/>
              </w:rPr>
              <w:t>公司</w:t>
            </w:r>
          </w:p>
          <w:p>
            <w:pPr>
              <w:widowControl/>
              <w:jc w:val="center"/>
              <w:rPr>
                <w:rFonts w:eastAsia="方正仿宋简体"/>
                <w:kern w:val="0"/>
                <w:sz w:val="24"/>
              </w:rPr>
            </w:pPr>
            <w:r>
              <w:rPr>
                <w:rFonts w:eastAsia="方正仿宋简体"/>
                <w:bCs/>
                <w:color w:val="000000"/>
                <w:kern w:val="0"/>
                <w:sz w:val="24"/>
              </w:rPr>
              <w:t>会员</w:t>
            </w:r>
          </w:p>
        </w:tc>
        <w:tc>
          <w:tcPr>
            <w:tcW w:w="510"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607"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丁二烯橡胶</w:t>
            </w:r>
          </w:p>
        </w:tc>
        <w:tc>
          <w:tcPr>
            <w:tcW w:w="817" w:type="pct"/>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hint="eastAsia" w:ascii="方正仿宋简体" w:eastAsia="方正仿宋简体"/>
                <w:bCs/>
                <w:color w:val="000000"/>
                <w:kern w:val="0"/>
                <w:sz w:val="24"/>
              </w:rPr>
              <w:t>≥</w:t>
            </w:r>
            <w:r>
              <w:rPr>
                <w:rFonts w:eastAsia="方正仿宋简体"/>
                <w:bCs/>
                <w:color w:val="000000"/>
                <w:kern w:val="0"/>
                <w:sz w:val="24"/>
              </w:rPr>
              <w:t>1万手</w:t>
            </w:r>
          </w:p>
        </w:tc>
        <w:tc>
          <w:tcPr>
            <w:tcW w:w="817"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w:t>
            </w:r>
          </w:p>
        </w:tc>
        <w:tc>
          <w:tcPr>
            <w:tcW w:w="511"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w:t>
            </w:r>
          </w:p>
        </w:tc>
        <w:tc>
          <w:tcPr>
            <w:tcW w:w="613"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300</w:t>
            </w:r>
          </w:p>
        </w:tc>
        <w:tc>
          <w:tcPr>
            <w:tcW w:w="510"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300</w:t>
            </w:r>
          </w:p>
        </w:tc>
        <w:tc>
          <w:tcPr>
            <w:tcW w:w="613"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kern w:val="0"/>
                <w:sz w:val="24"/>
              </w:rPr>
              <w:t>60</w:t>
            </w:r>
          </w:p>
        </w:tc>
        <w:tc>
          <w:tcPr>
            <w:tcW w:w="510"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kern w:val="0"/>
                <w:sz w:val="24"/>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607"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817" w:type="pct"/>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＜1万手</w:t>
            </w:r>
          </w:p>
        </w:tc>
        <w:tc>
          <w:tcPr>
            <w:tcW w:w="817"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1000</w:t>
            </w:r>
          </w:p>
        </w:tc>
        <w:tc>
          <w:tcPr>
            <w:tcW w:w="511"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1000</w:t>
            </w:r>
          </w:p>
        </w:tc>
        <w:tc>
          <w:tcPr>
            <w:tcW w:w="613"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510"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613"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510"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第四十九条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w:t>
      </w:r>
      <w:r>
        <w:rPr>
          <w:rFonts w:hint="eastAsia" w:eastAsia="方正仿宋简体"/>
          <w:sz w:val="30"/>
          <w:szCs w:val="30"/>
        </w:rPr>
        <w:t>每个交易编码上的</w:t>
      </w:r>
      <w:r>
        <w:rPr>
          <w:rFonts w:eastAsia="方正仿宋简体"/>
          <w:sz w:val="30"/>
          <w:szCs w:val="30"/>
        </w:rPr>
        <w:t>丁二烯橡胶期货合约的</w:t>
      </w:r>
      <w:r>
        <w:rPr>
          <w:rFonts w:hint="eastAsia" w:eastAsia="方正仿宋简体"/>
          <w:sz w:val="30"/>
          <w:szCs w:val="30"/>
        </w:rPr>
        <w:t>一般</w:t>
      </w:r>
      <w:r>
        <w:rPr>
          <w:rFonts w:eastAsia="方正仿宋简体"/>
          <w:sz w:val="30"/>
          <w:szCs w:val="30"/>
        </w:rPr>
        <w:t>持仓应当调整为2手的整倍数（遇市场特殊情况无法按期调整的，可以顺延一天）。进入交割月后，丁二烯橡胶期货合约</w:t>
      </w:r>
      <w:r>
        <w:rPr>
          <w:rFonts w:hint="eastAsia" w:eastAsia="方正仿宋简体"/>
          <w:sz w:val="30"/>
          <w:szCs w:val="30"/>
        </w:rPr>
        <w:t>一般</w:t>
      </w:r>
      <w:r>
        <w:rPr>
          <w:rFonts w:eastAsia="方正仿宋简体"/>
          <w:sz w:val="30"/>
          <w:szCs w:val="30"/>
        </w:rPr>
        <w:t>持仓应当是2手的整倍数，新开仓、平仓也应当是2手的整倍数。</w:t>
      </w:r>
    </w:p>
    <w:p>
      <w:pPr>
        <w:spacing w:line="560" w:lineRule="exact"/>
        <w:ind w:firstLine="602" w:firstLineChars="200"/>
        <w:rPr>
          <w:rFonts w:eastAsia="方正仿宋简体"/>
          <w:sz w:val="30"/>
          <w:szCs w:val="30"/>
        </w:rPr>
      </w:pPr>
      <w:r>
        <w:rPr>
          <w:rFonts w:eastAsia="方正仿宋简体"/>
          <w:b/>
          <w:sz w:val="30"/>
          <w:szCs w:val="30"/>
        </w:rPr>
        <w:t xml:space="preserve">第五十条 </w:t>
      </w:r>
      <w:r>
        <w:rPr>
          <w:rFonts w:eastAsia="方正仿宋简体"/>
          <w:sz w:val="30"/>
          <w:szCs w:val="30"/>
        </w:rPr>
        <w:t>交易所对某一丁二烯橡胶期货合约采取强制减仓的，其申报平仓数量、持仓盈利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该丁二烯橡胶期货合约的单位净持仓亏损大于或者等于强制减仓基准日结算价8%的所有申报平仓数量的总和为平仓数量。</w:t>
      </w:r>
    </w:p>
    <w:p>
      <w:pPr>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60" w:lineRule="exact"/>
        <w:ind w:firstLine="600" w:firstLineChars="200"/>
        <w:rPr>
          <w:rFonts w:eastAsia="方正仿宋简体"/>
          <w:b/>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第五十二条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第五十三条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 xml:space="preserve">第五十四条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cs="Arial"/>
          <w:color w:val="000000"/>
          <w:kern w:val="0"/>
          <w:sz w:val="28"/>
          <w:szCs w:val="28"/>
        </w:rPr>
      </w:pPr>
      <w:r>
        <w:rPr>
          <w:rFonts w:eastAsia="方正仿宋简体" w:cs="Arial"/>
          <w:color w:val="000000"/>
          <w:kern w:val="0"/>
          <w:sz w:val="28"/>
          <w:szCs w:val="28"/>
        </w:rP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上海期货交易所天然橡胶期货业务细则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pPr>
    </w:p>
    <w:p>
      <w:pPr>
        <w:spacing w:line="560" w:lineRule="exact"/>
        <w:jc w:val="center"/>
        <w:rPr>
          <w:rFonts w:eastAsia="方正黑体简体"/>
          <w:sz w:val="30"/>
          <w:szCs w:val="30"/>
        </w:rPr>
      </w:pPr>
      <w:r>
        <w:rPr>
          <w:rFonts w:eastAsia="方正黑体简体"/>
          <w:sz w:val="30"/>
          <w:szCs w:val="30"/>
        </w:rPr>
        <w:t>第一章</w:t>
      </w:r>
      <w:r>
        <w:rPr>
          <w:rFonts w:hint="eastAsia" w:eastAsia="方正黑体简体"/>
          <w:sz w:val="30"/>
          <w:szCs w:val="30"/>
        </w:rPr>
        <w:t xml:space="preserve"> </w:t>
      </w:r>
      <w:r>
        <w:rPr>
          <w:rFonts w:eastAsia="方正黑体简体"/>
          <w:sz w:val="30"/>
          <w:szCs w:val="30"/>
        </w:rPr>
        <w:t>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为了规范上海期货交易所（以下简称交易所）天然橡胶期货相关业务，根据《上海期货交易所交易规则》《上海期货交易所天然橡胶期货合约》以及相关业务规则，制定本细则。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w:t>
      </w:r>
      <w:r>
        <w:rPr>
          <w:rFonts w:eastAsia="方正仿宋简体"/>
          <w:b/>
          <w:sz w:val="30"/>
          <w:szCs w:val="30"/>
        </w:rPr>
        <w:t xml:space="preserve">条 </w:t>
      </w:r>
      <w:r>
        <w:rPr>
          <w:rFonts w:eastAsia="方正仿宋简体"/>
          <w:sz w:val="30"/>
          <w:szCs w:val="30"/>
        </w:rPr>
        <w:t>天然橡胶期货合约的交易单位为10吨/手。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w:t>
      </w:r>
      <w:r>
        <w:rPr>
          <w:rFonts w:eastAsia="方正仿宋简体"/>
          <w:b/>
          <w:sz w:val="30"/>
          <w:szCs w:val="30"/>
        </w:rPr>
        <w:t xml:space="preserve">条 </w:t>
      </w:r>
      <w:r>
        <w:rPr>
          <w:rFonts w:eastAsia="方正仿宋简体"/>
          <w:sz w:val="30"/>
          <w:szCs w:val="30"/>
        </w:rPr>
        <w:t>天然橡胶期货合约的报价单位为元（人民币）/吨。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天然橡胶期货合约的最小变动价位为5元/吨。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天然橡胶期货合约月份为1、3、4、5、6、7、8、9、10、11月。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天然橡胶期货合约的交易时间为上午9:00～11:30，下午1:30～3:00和交易所规定的其他交易时间。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天然橡胶期货合约的最后交易日为合约月份的15日，遇国家法定节假日顺延，春节月份等最后交易日交易所可另行调整并通知。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天然橡胶期货合约的交易代码为RU。</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天然橡胶期货套期保值交易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天然橡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天然橡胶期货临近交割月份套期保值交易持仓额度的申请应当在该套期保值所涉合约交割月前第二</w:t>
      </w:r>
      <w:r>
        <w:rPr>
          <w:rFonts w:eastAsia="方正仿宋简体"/>
          <w:sz w:val="30"/>
          <w:szCs w:val="30"/>
        </w:rPr>
        <w:t>月的第一个交易日至交割月前第一月的最后一个交易日之间提出，逾期交易所不再受理；天然橡胶期货临近交割月份套利交易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天然橡胶期货套期保值交易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天然橡胶期货适用期货转现货、仓库交割。</w:t>
      </w:r>
    </w:p>
    <w:p>
      <w:pPr>
        <w:autoSpaceDE w:val="0"/>
        <w:autoSpaceDN w:val="0"/>
        <w:adjustRightInd w:val="0"/>
        <w:spacing w:line="560" w:lineRule="exact"/>
        <w:ind w:firstLine="600" w:firstLineChars="200"/>
        <w:rPr>
          <w:rFonts w:eastAsia="方正仿宋简体"/>
          <w:strike/>
          <w:color w:val="FF0000"/>
          <w:sz w:val="30"/>
          <w:szCs w:val="30"/>
        </w:rPr>
      </w:pPr>
      <w:r>
        <w:rPr>
          <w:rFonts w:eastAsia="方正仿宋简体"/>
          <w:sz w:val="30"/>
          <w:szCs w:val="30"/>
        </w:rPr>
        <w:t>天然橡胶期货实行完税交割</w:t>
      </w:r>
      <w:r>
        <w:rPr>
          <w:rFonts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天然橡胶期货合约交割品级详见《上海期货交易所天然橡胶期货合约》。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国产天然橡胶的注册品牌由交易所另行发布。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（一）国产天然橡胶（SCR WF）的外包装应当用聚乙烯薄膜和聚丙烯编织袋双层包装，每包净含量33.3kg，每吨30包，无溢短。胶包尺寸为670×330×200mm，胶包外应标志注明：标准橡胶级别代号、净重、生产厂名或厂代号和生产日期等内容。</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（二）进口3号烟胶片为胶片复盖的胶包，每个交货批次的胶包重量应当一致，标准件重为111.11kg，每吨9包，无溢短。非标准件重可以按实计量，允许有±0.2%的磅差和±3%的溢短。</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（一）国产天然橡胶（SCR WF）在实物交割时应当提供与实物一致的交易所指定检验机构出具的质检证（或者检测/鉴定报告）原件。</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进口3号烟胶片在实物交割时应当提供进口货物报关单、合同、海关进口关税专用缴款书、海关代征增值税专用缴款书的复印件，与实物一致的交易所指定检验机构出具的质检证（或者检测/鉴定报告）原件。</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（三）检验方法为抽样检验，抽样地点应当入库完毕后在交割仓库内，严禁在车站、码头等运输途中抽样。检验批量以100吨以下（包括100吨）为一个检验批次，超过100吨应当分若干批次检验。</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有效期：</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（一）国产天然橡胶（SCR WF）在库交割的有效期限为生产年份的第二年的最后一个交割月份，超过期限的转作现货。当年生产的国产天然橡胶如要用于实物交割，最迟应当在第二年的六月份以前（不含六月）入库完毕，超过期限不得用于交割。</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（二）进口3号烟胶片在库交割的有效期限为进口货物报关单申报日期起十八个月，超过期限的转作现货。用于实物交割的3号烟胶片应当在进口货物报关单申报日期起六个月内进库，否则不得用于交割。</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（三）在库天然橡胶的质检证（或检测/鉴定报告）自签发之日起90天内有效。期满后，其相应的商品应当重新检验合格后方可用于下次交割。</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到库天然橡胶应当干燥、清洁。交割仓库在验收时应当对整批交割商品的10%开包检查，并重新缝好。如发现有表面老化龟裂、雨淋、受潮、霉变、发黑、污染严重等影响使用的情况，予以拒收，不得用于交割。</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标准仓单所列标的物应当是同一批次、同一包装规格的天然橡胶。</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天然橡胶期货合约的交割单位为每一标准仓单10吨。</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天然橡胶期货合约的交割日期为最后交易日后连续二个工作日。</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第二十三条 </w:t>
      </w:r>
      <w:r>
        <w:rPr>
          <w:rFonts w:eastAsia="方正仿宋简体"/>
          <w:sz w:val="30"/>
          <w:szCs w:val="30"/>
        </w:rPr>
        <w:t>天然橡胶期货合约交割结算的基准价为该合约最后5个有成交交易日的</w:t>
      </w:r>
      <w:r>
        <w:rPr>
          <w:rFonts w:hint="eastAsia" w:eastAsia="方正仿宋简体"/>
          <w:sz w:val="30"/>
          <w:szCs w:val="30"/>
        </w:rPr>
        <w:t>结算价的算术平均值</w:t>
      </w:r>
      <w:r>
        <w:rPr>
          <w:rFonts w:eastAsia="方正仿宋简体"/>
          <w:sz w:val="30"/>
          <w:szCs w:val="30"/>
        </w:rPr>
        <w:t>。</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交割地点：交易所交割仓库，由交易所另行公告。</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color w:val="000000"/>
          <w:kern w:val="0"/>
          <w:sz w:val="30"/>
          <w:szCs w:val="30"/>
        </w:rPr>
        <w:t>实物交割完成后，若买方对交割商品的质量、数量有异议的（有异议的天然橡胶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期转现使用标准仓单并通过交易所结算发生天然橡胶交割实物质量纠纷的，买方应当在货款和标准仓单交换日后的25天内提出质量异议申请，并应当同时提供交易所指定检验机构出具的质量鉴定结论。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天然橡胶期货合约的最低交易保证金为合约价值的5%。</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天然橡胶期货合约上市运行不同阶段的交易保证金收取标准为：</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b/>
                <w:kern w:val="0"/>
                <w:sz w:val="24"/>
              </w:rPr>
            </w:pPr>
            <w:r>
              <w:rPr>
                <w:rFonts w:eastAsia="方正仿宋简体"/>
                <w:b/>
                <w:bCs/>
                <w:color w:val="000000"/>
                <w:kern w:val="0"/>
                <w:sz w:val="24"/>
              </w:rPr>
              <w:t>交易时间段</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b/>
                <w:kern w:val="0"/>
                <w:sz w:val="24"/>
              </w:rPr>
            </w:pPr>
            <w:r>
              <w:rPr>
                <w:rFonts w:eastAsia="方正仿宋简体"/>
                <w:b/>
                <w:bCs/>
                <w:color w:val="000000"/>
                <w:kern w:val="0"/>
                <w:sz w:val="24"/>
              </w:rPr>
              <w:t>天然橡胶交易保证金比例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合约挂牌之日起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交割月前第一月的第一个交易日起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交割月份第一个交易日起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最后交易日前二个交易日起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20%</w:t>
            </w:r>
          </w:p>
        </w:tc>
      </w:tr>
    </w:tbl>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天然橡胶期货合约涨跌停板幅度为上一交易日结算价±3%。</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天然橡胶期货合约在不同时期的限仓比例和限仓数额具体规定如下：</w:t>
      </w:r>
    </w:p>
    <w:p>
      <w:pPr>
        <w:autoSpaceDE w:val="0"/>
        <w:autoSpaceDN w:val="0"/>
        <w:adjustRightInd w:val="0"/>
        <w:spacing w:line="560" w:lineRule="exact"/>
        <w:ind w:firstLine="480" w:firstLineChars="200"/>
        <w:rPr>
          <w:rFonts w:eastAsia="方正仿宋简体"/>
          <w:sz w:val="30"/>
          <w:szCs w:val="30"/>
        </w:rPr>
      </w:pPr>
      <w:r>
        <w:rPr>
          <w:rFonts w:hint="eastAsia"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98"/>
        <w:gridCol w:w="1375"/>
        <w:gridCol w:w="1498"/>
        <w:gridCol w:w="1401"/>
        <w:gridCol w:w="749"/>
        <w:gridCol w:w="1114"/>
        <w:gridCol w:w="11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65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p>
        </w:tc>
        <w:tc>
          <w:tcPr>
            <w:tcW w:w="171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合约挂牌至交割月前第二月的最后一个交易日</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交割月前第一月</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65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p>
        </w:tc>
        <w:tc>
          <w:tcPr>
            <w:tcW w:w="171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65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p>
        </w:tc>
        <w:tc>
          <w:tcPr>
            <w:tcW w:w="822"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896"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448"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c>
          <w:tcPr>
            <w:tcW w:w="666"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671"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657"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天然橡胶</w:t>
            </w:r>
          </w:p>
        </w:tc>
        <w:tc>
          <w:tcPr>
            <w:tcW w:w="822"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hint="eastAsia" w:eastAsia="方正仿宋简体"/>
                <w:bCs/>
                <w:color w:val="000000"/>
                <w:kern w:val="0"/>
                <w:sz w:val="24"/>
              </w:rPr>
              <w:t>1000</w:t>
            </w:r>
          </w:p>
        </w:tc>
        <w:tc>
          <w:tcPr>
            <w:tcW w:w="896" w:type="pct"/>
            <w:tcBorders>
              <w:top w:val="nil"/>
              <w:left w:val="nil"/>
              <w:bottom w:val="single" w:color="auto" w:sz="8" w:space="0"/>
              <w:right w:val="single" w:color="auto" w:sz="8" w:space="0"/>
            </w:tcBorders>
            <w:shd w:val="clear" w:color="auto" w:fill="auto"/>
            <w:vAlign w:val="center"/>
          </w:tcPr>
          <w:p>
            <w:pPr>
              <w:widowControl/>
              <w:spacing w:line="360" w:lineRule="exact"/>
              <w:jc w:val="center"/>
              <w:rPr>
                <w:rFonts w:eastAsia="方正仿宋简体"/>
                <w:bCs/>
                <w:color w:val="000000"/>
                <w:kern w:val="0"/>
                <w:sz w:val="24"/>
              </w:rPr>
            </w:pPr>
            <w:r>
              <w:rPr>
                <w:rFonts w:hint="eastAsia" w:eastAsia="方正仿宋简体"/>
                <w:bCs/>
                <w:color w:val="000000"/>
                <w:kern w:val="0"/>
                <w:sz w:val="24"/>
              </w:rPr>
              <w:t>1000</w:t>
            </w:r>
          </w:p>
        </w:tc>
        <w:tc>
          <w:tcPr>
            <w:tcW w:w="838" w:type="pct"/>
            <w:tcBorders>
              <w:top w:val="nil"/>
              <w:left w:val="nil"/>
              <w:bottom w:val="single" w:color="auto" w:sz="8" w:space="0"/>
              <w:right w:val="single" w:color="auto" w:sz="8" w:space="0"/>
            </w:tcBorders>
            <w:shd w:val="clear" w:color="auto" w:fill="auto"/>
            <w:vAlign w:val="center"/>
          </w:tcPr>
          <w:p>
            <w:pPr>
              <w:widowControl/>
              <w:spacing w:line="360" w:lineRule="exact"/>
              <w:jc w:val="center"/>
              <w:rPr>
                <w:rFonts w:hint="default" w:eastAsia="方正仿宋简体"/>
                <w:bCs/>
                <w:color w:val="000000"/>
                <w:kern w:val="0"/>
                <w:sz w:val="24"/>
                <w:lang w:val="en-US" w:eastAsia="zh-CN"/>
              </w:rPr>
            </w:pPr>
            <w:r>
              <w:rPr>
                <w:rFonts w:hint="eastAsia" w:eastAsia="方正仿宋简体"/>
                <w:bCs/>
                <w:color w:val="000000"/>
                <w:kern w:val="0"/>
                <w:sz w:val="24"/>
                <w:lang w:val="en-US" w:eastAsia="zh-CN"/>
              </w:rPr>
              <w:t>300</w:t>
            </w:r>
          </w:p>
        </w:tc>
        <w:tc>
          <w:tcPr>
            <w:tcW w:w="448" w:type="pct"/>
            <w:tcBorders>
              <w:top w:val="nil"/>
              <w:left w:val="nil"/>
              <w:bottom w:val="single" w:color="auto" w:sz="8" w:space="0"/>
              <w:right w:val="single" w:color="auto" w:sz="8" w:space="0"/>
            </w:tcBorders>
            <w:shd w:val="clear" w:color="auto" w:fill="auto"/>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3</w:t>
            </w:r>
            <w:r>
              <w:rPr>
                <w:rFonts w:hint="eastAsia" w:eastAsia="方正仿宋简体"/>
                <w:bCs/>
                <w:color w:val="000000"/>
                <w:kern w:val="0"/>
                <w:sz w:val="24"/>
              </w:rPr>
              <w:t>00</w:t>
            </w:r>
          </w:p>
        </w:tc>
        <w:tc>
          <w:tcPr>
            <w:tcW w:w="666"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50</w:t>
            </w:r>
          </w:p>
        </w:tc>
        <w:tc>
          <w:tcPr>
            <w:tcW w:w="671"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50</w:t>
            </w: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交易所对某一天然橡胶期货合约采取强制减仓的，其申报平仓数量、持仓盈利</w:t>
      </w:r>
      <w:r>
        <w:rPr>
          <w:rFonts w:hint="eastAsia" w:eastAsia="方正仿宋简体"/>
          <w:sz w:val="30"/>
          <w:szCs w:val="30"/>
        </w:rPr>
        <w:t>交易者（即客户、非期货公司会员，下同）</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该天然橡胶期货合约的单位净持仓亏损大于或者等于强制减仓基准日结算价8%的所有申报平仓数量的总和为平仓数量。</w:t>
      </w:r>
    </w:p>
    <w:p>
      <w:pPr>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60" w:lineRule="exact"/>
        <w:ind w:firstLine="600" w:firstLineChars="200"/>
        <w:rPr>
          <w:rFonts w:eastAsia="方正仿宋简体"/>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本细则未规定的，按照交易所相关业务规则的规定执行。</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违反本细则规定的，交易所按照《上海期货交易所违规处理办法》的有关规定处理。</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 xml:space="preserve">第三十五条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r>
        <w:br w:type="page"/>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上海期货交易所漂白硫酸盐针叶木浆期货</w:t>
      </w:r>
    </w:p>
    <w:p>
      <w:pPr>
        <w:spacing w:line="560" w:lineRule="exact"/>
        <w:jc w:val="center"/>
        <w:rPr>
          <w:rFonts w:eastAsia="方正大标宋简体"/>
          <w:sz w:val="42"/>
          <w:szCs w:val="42"/>
        </w:rPr>
      </w:pPr>
      <w:r>
        <w:rPr>
          <w:rFonts w:eastAsia="方正大标宋简体"/>
          <w:sz w:val="42"/>
          <w:szCs w:val="42"/>
        </w:rPr>
        <w:t>业务细则</w:t>
      </w:r>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line="560" w:lineRule="exact"/>
        <w:jc w:val="center"/>
        <w:rPr>
          <w:rFonts w:ascii="楷体" w:hAnsi="楷体" w:eastAsia="楷体"/>
          <w:bCs/>
          <w:sz w:val="28"/>
          <w:szCs w:val="30"/>
        </w:rPr>
      </w:pPr>
    </w:p>
    <w:p>
      <w:pPr>
        <w:spacing w:line="560" w:lineRule="exact"/>
        <w:jc w:val="center"/>
        <w:rPr>
          <w:rFonts w:eastAsia="方正黑体简体"/>
          <w:sz w:val="30"/>
          <w:szCs w:val="30"/>
        </w:rPr>
      </w:pPr>
      <w:r>
        <w:rPr>
          <w:rFonts w:hint="eastAsia"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漂白硫酸盐针叶木浆（以下简称漂针浆）期货相关业务，根据《上海期货交易所交易规则》《上海期货交易所漂白硫酸盐针叶木浆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漂针浆期货合约的交易单位为10吨/手。</w:t>
      </w:r>
    </w:p>
    <w:p>
      <w:pPr>
        <w:spacing w:line="56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漂针浆期货合约的报价单位为元（人民币）/吨。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漂针浆期货合约的最小变动价位为2元/吨。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漂针浆期货合约月份为1～12月。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漂针浆期货合约的交易时间为上午9:00～11:30，下午1:30～3:00和交易所规定的其他交易时间。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漂针浆期货合约的最后交易日为合约月份的15日，遇国家法定节假日顺延，春节月份等最后交易日交易所可另行调整并通知。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漂针浆期货合约的交易代码为SP。</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漂针浆期货套期保值交易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按合约方式申请漂针浆期货一般月份套期保值交易持仓额度的，</w:t>
      </w:r>
      <w:r>
        <w:rPr>
          <w:rFonts w:eastAsia="方正仿宋简体"/>
          <w:sz w:val="30"/>
          <w:szCs w:val="30"/>
        </w:rPr>
        <w:t>应当在该套期保值所涉合约交割月前第二月的最后一个交易日之前提出，逾期交易所不再受理。</w:t>
      </w:r>
      <w:r>
        <w:rPr>
          <w:rFonts w:hint="eastAsia" w:eastAsia="方正仿宋简体"/>
          <w:sz w:val="30"/>
          <w:szCs w:val="30"/>
        </w:rPr>
        <w:t>按品种方式申请一般月份套期保值交易持仓额度的，按照《上海期货交易所套期保值交易管理办法》相关</w:t>
      </w:r>
      <w:r>
        <w:rPr>
          <w:rFonts w:eastAsia="方正仿宋简体"/>
          <w:sz w:val="30"/>
          <w:szCs w:val="30"/>
        </w:rPr>
        <w:t>规定</w:t>
      </w:r>
      <w:r>
        <w:rPr>
          <w:rFonts w:hint="eastAsia" w:eastAsia="方正仿宋简体"/>
          <w:sz w:val="30"/>
          <w:szCs w:val="30"/>
        </w:rPr>
        <w:t>执行。</w:t>
      </w:r>
    </w:p>
    <w:p>
      <w:pPr>
        <w:spacing w:line="560" w:lineRule="exact"/>
        <w:ind w:firstLine="600" w:firstLineChars="200"/>
        <w:rPr>
          <w:rFonts w:eastAsia="方正仿宋简体"/>
          <w:sz w:val="30"/>
          <w:szCs w:val="30"/>
        </w:rPr>
      </w:pPr>
      <w:r>
        <w:rPr>
          <w:rFonts w:eastAsia="方正仿宋简体"/>
          <w:sz w:val="30"/>
          <w:szCs w:val="30"/>
        </w:rPr>
        <w:t>漂针浆期货临近交割月份套期保值交易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sz w:val="30"/>
          <w:szCs w:val="30"/>
        </w:rPr>
        <w:t>二</w:t>
      </w:r>
      <w:r>
        <w:rPr>
          <w:rFonts w:eastAsia="方正仿宋简体"/>
          <w:sz w:val="30"/>
          <w:szCs w:val="30"/>
        </w:rPr>
        <w:t>月的第一个交易日至交割月前第一月的最后一个交易日之间提出，逾期交易所不再受理；漂针浆期货临近交割月份套利交易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漂针浆期货套期保值交易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漂针浆期货适用期货转现货、仓库交割、厂库交割。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漂针浆期货实行完税交割。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漂针浆期货的交割品级详见《上海期货交易所漂白硫酸盐针叶木浆期货合约》。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用于实物交割的漂针浆应当是交易所认可的生产厂生产的指定品牌的正品浆。指定品牌和生产厂由交易所另行公告。</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（一）每一标准仓单的漂针浆应当是同一生产厂生产、同一品牌的正品浆商品组成。</w:t>
      </w:r>
    </w:p>
    <w:p>
      <w:pPr>
        <w:spacing w:line="560" w:lineRule="exact"/>
        <w:ind w:firstLine="600" w:firstLineChars="200"/>
        <w:rPr>
          <w:rFonts w:eastAsia="方正仿宋简体"/>
          <w:sz w:val="30"/>
          <w:szCs w:val="30"/>
        </w:rPr>
      </w:pPr>
      <w:r>
        <w:rPr>
          <w:rFonts w:eastAsia="方正仿宋简体"/>
          <w:sz w:val="30"/>
          <w:szCs w:val="30"/>
        </w:rPr>
        <w:t>（二）用于交割的漂针浆，应当符合交易所认可的生产厂生产的指定品牌商品的包装要求，每件浆包外包装应明显标出用以识别的产品名称等信息。</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（一）国产商品：应当提供交易所指定检验机构出具的检验证书以及生产厂出具的产品质量证明书等材料，经交易所审定合格为有效。</w:t>
      </w:r>
    </w:p>
    <w:p>
      <w:pPr>
        <w:spacing w:line="560" w:lineRule="exact"/>
        <w:ind w:firstLine="600" w:firstLineChars="2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（二）进口商品：应当提供交易所指定检验机构出具的检验证书、与实物一致的进口货物报关单、海关代征增值税专用缴款书、原产地证书（产地证明书）、产品质量证明书等材料，经交易所审定合格为有效。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十八</w:t>
      </w:r>
      <w:r>
        <w:rPr>
          <w:rFonts w:eastAsia="方正仿宋简体"/>
          <w:b/>
          <w:color w:val="000000"/>
          <w:kern w:val="0"/>
          <w:sz w:val="30"/>
          <w:szCs w:val="30"/>
        </w:rPr>
        <w:t xml:space="preserve">条 </w:t>
      </w:r>
      <w:r>
        <w:rPr>
          <w:rFonts w:eastAsia="方正仿宋简体"/>
          <w:color w:val="000000"/>
          <w:kern w:val="0"/>
          <w:sz w:val="30"/>
          <w:szCs w:val="30"/>
        </w:rPr>
        <w:t>溢短和磅差</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漂针浆交割以实测风干重计重，每一标准仓单的溢短不超过±5%，重量误差不超过±1%。</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第十九条</w:t>
      </w:r>
      <w:r>
        <w:rPr>
          <w:rFonts w:eastAsia="方正仿宋简体"/>
          <w:color w:val="000000"/>
          <w:kern w:val="0"/>
          <w:sz w:val="30"/>
          <w:szCs w:val="30"/>
        </w:rPr>
        <w:t xml:space="preserve"> 漂针浆期货合约的交割单位为每一标准仓单重量（风干重）20吨。</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第二十条</w:t>
      </w:r>
      <w:r>
        <w:rPr>
          <w:rFonts w:eastAsia="方正仿宋简体"/>
          <w:color w:val="000000"/>
          <w:kern w:val="0"/>
          <w:sz w:val="30"/>
          <w:szCs w:val="30"/>
        </w:rPr>
        <w:t xml:space="preserve"> 漂针浆期货合约的交割日期为最后交易日后连续二个工作日。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w:t>
      </w:r>
      <w:r>
        <w:rPr>
          <w:rFonts w:eastAsia="方正仿宋简体"/>
          <w:b/>
          <w:color w:val="000000"/>
          <w:kern w:val="0"/>
          <w:sz w:val="30"/>
          <w:szCs w:val="30"/>
        </w:rPr>
        <w:t>二十一</w:t>
      </w:r>
      <w:r>
        <w:rPr>
          <w:rFonts w:eastAsia="方正仿宋简体"/>
          <w:b/>
          <w:sz w:val="30"/>
          <w:szCs w:val="30"/>
        </w:rPr>
        <w:t xml:space="preserve">条 </w:t>
      </w:r>
      <w:r>
        <w:rPr>
          <w:rFonts w:eastAsia="方正仿宋简体"/>
          <w:sz w:val="30"/>
          <w:szCs w:val="30"/>
        </w:rPr>
        <w:t>漂针浆期货合约交割结算的基准价为该合约最后5个有成交交易日的</w:t>
      </w:r>
      <w:r>
        <w:rPr>
          <w:rFonts w:hint="eastAsia" w:eastAsia="方正仿宋简体"/>
          <w:sz w:val="30"/>
          <w:szCs w:val="30"/>
        </w:rPr>
        <w:t>结算价的算术平均值</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第二十二条 </w:t>
      </w:r>
      <w:r>
        <w:rPr>
          <w:rFonts w:eastAsia="方正仿宋简体"/>
          <w:sz w:val="30"/>
          <w:szCs w:val="30"/>
        </w:rPr>
        <w:t>交割地点：交易所交割仓库、交割厂库，由交易所另行公告。</w:t>
      </w:r>
    </w:p>
    <w:p>
      <w:pPr>
        <w:spacing w:line="560" w:lineRule="exact"/>
        <w:ind w:firstLine="602" w:firstLineChars="200"/>
        <w:rPr>
          <w:rFonts w:eastAsia="方正仿宋简体"/>
          <w:b/>
          <w:sz w:val="30"/>
          <w:szCs w:val="30"/>
        </w:rPr>
      </w:pPr>
      <w:r>
        <w:rPr>
          <w:rFonts w:eastAsia="方正仿宋简体"/>
          <w:b/>
          <w:sz w:val="30"/>
          <w:szCs w:val="30"/>
        </w:rPr>
        <w:t xml:space="preserve">第二十三条 </w:t>
      </w:r>
      <w:r>
        <w:rPr>
          <w:rFonts w:eastAsia="方正仿宋简体"/>
          <w:sz w:val="30"/>
          <w:szCs w:val="30"/>
        </w:rPr>
        <w:t>期转现使用标准仓单并通过交易所结算发生漂针浆交割实物质量纠纷的，买方应当在货款和标准仓单交换日后的25天内提出质量异议申请，并应当同时提供交易所指定检验机构出具的质量鉴定结论。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二十四</w:t>
      </w:r>
      <w:r>
        <w:rPr>
          <w:rFonts w:eastAsia="方正仿宋简体"/>
          <w:b/>
          <w:color w:val="000000"/>
          <w:kern w:val="0"/>
          <w:sz w:val="30"/>
          <w:szCs w:val="30"/>
        </w:rPr>
        <w:t xml:space="preserve">条 </w:t>
      </w:r>
      <w:r>
        <w:rPr>
          <w:rFonts w:eastAsia="方正仿宋简体"/>
          <w:color w:val="000000"/>
          <w:kern w:val="0"/>
          <w:sz w:val="30"/>
          <w:szCs w:val="30"/>
        </w:rPr>
        <w:t>到库漂针浆应该包装完整、清洁。交割仓库在验收时应当对整批交割商品进行检查，如发现有明显受潮、霉变、污染、破损严重等影响使用的情况，予以拒收，不得用于交割。</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到库商品中，如遇包装铁丝断裂或散块商品，应当重新打包，用规定的铁丝捆扎紧固，方可用于交割。包装费用由货主承担。</w:t>
      </w:r>
    </w:p>
    <w:p>
      <w:pPr>
        <w:spacing w:line="560" w:lineRule="exact"/>
        <w:ind w:firstLine="602" w:firstLineChars="200"/>
        <w:rPr>
          <w:rFonts w:eastAsia="方正仿宋简体"/>
          <w:sz w:val="30"/>
          <w:szCs w:val="30"/>
        </w:rPr>
      </w:pPr>
      <w:r>
        <w:rPr>
          <w:rFonts w:eastAsia="方正仿宋简体"/>
          <w:b/>
          <w:color w:val="000000"/>
          <w:kern w:val="0"/>
          <w:sz w:val="30"/>
          <w:szCs w:val="30"/>
        </w:rPr>
        <w:t>第</w:t>
      </w:r>
      <w:r>
        <w:rPr>
          <w:rFonts w:eastAsia="方正仿宋简体"/>
          <w:b/>
          <w:sz w:val="30"/>
          <w:szCs w:val="30"/>
        </w:rPr>
        <w:t>二十五</w:t>
      </w:r>
      <w:r>
        <w:rPr>
          <w:rFonts w:eastAsia="方正仿宋简体"/>
          <w:b/>
          <w:color w:val="000000"/>
          <w:kern w:val="0"/>
          <w:sz w:val="30"/>
          <w:szCs w:val="30"/>
        </w:rPr>
        <w:t xml:space="preserve">条 </w:t>
      </w:r>
      <w:r>
        <w:rPr>
          <w:rFonts w:eastAsia="方正仿宋简体"/>
          <w:color w:val="000000"/>
          <w:kern w:val="0"/>
          <w:sz w:val="30"/>
          <w:szCs w:val="30"/>
        </w:rPr>
        <w:t>用于交割的漂针浆每一仓库标准仓单的标的实物应当按货位堆放，以500吨为一个堆放货位。</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入出库检验</w:t>
      </w:r>
    </w:p>
    <w:p>
      <w:pPr>
        <w:spacing w:line="560" w:lineRule="exact"/>
        <w:ind w:firstLine="600" w:firstLineChars="200"/>
        <w:rPr>
          <w:rFonts w:eastAsia="方正仿宋简体"/>
          <w:sz w:val="30"/>
          <w:szCs w:val="30"/>
        </w:rPr>
      </w:pPr>
      <w:r>
        <w:rPr>
          <w:rFonts w:eastAsia="方正仿宋简体"/>
          <w:sz w:val="30"/>
          <w:szCs w:val="30"/>
        </w:rPr>
        <w:t>（一）到库漂针浆应当由交易所指定检验机构进行检验，检验分为品质检验和重量检验两部分。品质检验以指定检验机构检验报告为准，品质检验报告符合交易所规定的质量标准才能生成标准仓单；重量检验以指定检验机构签发的重量检验报告为准。货主应当确保入库商品符合交易所规定的质量标准。</w:t>
      </w:r>
    </w:p>
    <w:p>
      <w:pPr>
        <w:spacing w:line="560" w:lineRule="exact"/>
        <w:ind w:firstLine="600" w:firstLineChars="200"/>
        <w:rPr>
          <w:rFonts w:eastAsia="方正仿宋简体"/>
          <w:sz w:val="30"/>
          <w:szCs w:val="30"/>
        </w:rPr>
      </w:pPr>
      <w:r>
        <w:rPr>
          <w:rFonts w:eastAsia="方正仿宋简体"/>
          <w:sz w:val="30"/>
          <w:szCs w:val="30"/>
        </w:rPr>
        <w:t>（二）检验为抽样检验，抽样地点应当在交割仓库内，严禁在车站、码头等运输途中抽样。检验批量以同一提单为一个检验批次。每一检验批次的漂针浆必须是同一指定品牌、同一包装规格的商品所组成。</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二十七</w:t>
      </w:r>
      <w:r>
        <w:rPr>
          <w:rFonts w:eastAsia="方正仿宋简体"/>
          <w:b/>
          <w:color w:val="000000"/>
          <w:kern w:val="0"/>
          <w:sz w:val="30"/>
          <w:szCs w:val="30"/>
        </w:rPr>
        <w:t xml:space="preserve">条 </w:t>
      </w:r>
      <w:r>
        <w:rPr>
          <w:rFonts w:eastAsia="方正仿宋简体"/>
          <w:color w:val="000000"/>
          <w:kern w:val="0"/>
          <w:sz w:val="30"/>
          <w:szCs w:val="30"/>
        </w:rPr>
        <w:t>仓库标准仓单有效期</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（一）用于实物交割的国产漂针浆有效期限为生产年份的第二年的最后一个交割月份，超过期限的转作现货并注销。</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（二）用于实物交割的进口漂针浆应当在到港日起六个月内入库，有效期限为到港日的第二年的最后一个交割月份，超过期限的转作现货并注销。</w:t>
      </w:r>
    </w:p>
    <w:p>
      <w:pPr>
        <w:spacing w:line="560" w:lineRule="exact"/>
        <w:ind w:firstLine="602" w:firstLineChars="200"/>
        <w:rPr>
          <w:rFonts w:eastAsia="方正仿宋简体"/>
          <w:b/>
          <w:sz w:val="30"/>
          <w:szCs w:val="30"/>
        </w:rPr>
      </w:pPr>
      <w:r>
        <w:rPr>
          <w:rFonts w:eastAsia="方正仿宋简体"/>
          <w:b/>
          <w:sz w:val="30"/>
          <w:szCs w:val="30"/>
        </w:rPr>
        <w:t>第</w:t>
      </w:r>
      <w:r>
        <w:rPr>
          <w:rFonts w:eastAsia="方正仿宋简体"/>
          <w:b/>
          <w:color w:val="000000"/>
          <w:kern w:val="0"/>
          <w:sz w:val="30"/>
          <w:szCs w:val="30"/>
        </w:rPr>
        <w:t>二十八</w:t>
      </w:r>
      <w:r>
        <w:rPr>
          <w:rFonts w:eastAsia="方正仿宋简体"/>
          <w:b/>
          <w:sz w:val="30"/>
          <w:szCs w:val="30"/>
        </w:rPr>
        <w:t xml:space="preserve">条 </w:t>
      </w:r>
      <w:r>
        <w:rPr>
          <w:rFonts w:eastAsia="方正仿宋简体"/>
          <w:color w:val="000000"/>
          <w:kern w:val="0"/>
          <w:sz w:val="30"/>
          <w:szCs w:val="30"/>
        </w:rPr>
        <w:t>实物交割完成后，若买方对交割商品的质量、数量有异议的（有异议的</w:t>
      </w:r>
      <w:r>
        <w:rPr>
          <w:rFonts w:eastAsia="方正仿宋简体"/>
          <w:sz w:val="30"/>
          <w:szCs w:val="30"/>
        </w:rPr>
        <w:t>漂针浆</w:t>
      </w:r>
      <w:r>
        <w:rPr>
          <w:rFonts w:eastAsia="方正仿宋简体"/>
          <w:color w:val="000000"/>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jc w:val="center"/>
        <w:rPr>
          <w:rFonts w:eastAsia="方正仿宋简体"/>
          <w:b/>
          <w:color w:val="0D0D0D"/>
          <w:sz w:val="30"/>
          <w:szCs w:val="30"/>
        </w:rPr>
      </w:pPr>
      <w:r>
        <w:rPr>
          <w:rFonts w:eastAsia="方正仿宋简体"/>
          <w:b/>
          <w:sz w:val="30"/>
          <w:szCs w:val="30"/>
        </w:rPr>
        <w:t>第三</w:t>
      </w:r>
      <w:r>
        <w:rPr>
          <w:rFonts w:eastAsia="方正仿宋简体"/>
          <w:b/>
          <w:color w:val="0D0D0D"/>
          <w:sz w:val="30"/>
          <w:szCs w:val="30"/>
        </w:rPr>
        <w:t>节 厂库交割</w:t>
      </w:r>
    </w:p>
    <w:p>
      <w:pPr>
        <w:spacing w:line="56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申请</w:t>
      </w:r>
    </w:p>
    <w:p>
      <w:pPr>
        <w:spacing w:line="560" w:lineRule="exact"/>
        <w:ind w:firstLine="600" w:firstLineChars="200"/>
        <w:rPr>
          <w:rFonts w:eastAsia="方正仿宋简体"/>
          <w:b/>
          <w:sz w:val="30"/>
          <w:szCs w:val="30"/>
          <w:shd w:val="pct10" w:color="auto" w:fill="FFFFFF"/>
        </w:rPr>
      </w:pPr>
      <w:r>
        <w:rPr>
          <w:rFonts w:eastAsia="方正仿宋简体"/>
          <w:sz w:val="30"/>
          <w:szCs w:val="30"/>
        </w:rPr>
        <w:t>厂库签发厂库标准仓单前，需向交易所提交厂库标准仓单签发预报。预报内容包括品种、会员单位、货主名称、拟申请签发标准仓单数量等。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厂库标准仓单的交割有效期为厂库标准仓单生成之日起一年零六个月。</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提货申请</w:t>
      </w:r>
    </w:p>
    <w:p>
      <w:pPr>
        <w:spacing w:line="560" w:lineRule="exact"/>
        <w:ind w:firstLine="600" w:firstLineChars="200"/>
        <w:rPr>
          <w:rFonts w:eastAsia="方正仿宋简体"/>
          <w:sz w:val="30"/>
          <w:szCs w:val="30"/>
        </w:rPr>
      </w:pPr>
      <w:r>
        <w:rPr>
          <w:rFonts w:eastAsia="方正仿宋简体"/>
          <w:sz w:val="30"/>
          <w:szCs w:val="30"/>
        </w:rPr>
        <w:t>（一）货主应在拟提货日15个工作日前通过标准仓单管理系统向厂库提交提货申请，申请内容包括数量、拟提货日、拟提货地、提货方式、提货计划（每日提货量）、提货人身份证明、联系方式等相关内容。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（二）厂库在货主提交提货申请后的3个工作日内，参照货主提交的提货日、提货地等要求，确认货主的提货申请。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如协商不成，厂库应该按申请提货日先后次序发货，同一申请提货日，按申请提交先后排序。</w:t>
      </w:r>
    </w:p>
    <w:p>
      <w:pPr>
        <w:spacing w:line="560" w:lineRule="exact"/>
        <w:ind w:firstLine="600" w:firstLineChars="200"/>
        <w:rPr>
          <w:rFonts w:eastAsia="方正仿宋简体"/>
          <w:sz w:val="30"/>
          <w:szCs w:val="30"/>
        </w:rPr>
      </w:pPr>
      <w:r>
        <w:rPr>
          <w:rFonts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出库商品到港日期的规定</w:t>
      </w:r>
    </w:p>
    <w:p>
      <w:pPr>
        <w:spacing w:line="560" w:lineRule="exact"/>
        <w:ind w:firstLine="600" w:firstLineChars="200"/>
        <w:rPr>
          <w:rFonts w:eastAsia="方正仿宋简体"/>
          <w:sz w:val="30"/>
          <w:szCs w:val="30"/>
        </w:rPr>
      </w:pPr>
      <w:r>
        <w:rPr>
          <w:rFonts w:eastAsia="方正仿宋简体"/>
          <w:sz w:val="30"/>
          <w:szCs w:val="30"/>
        </w:rPr>
        <w:t>出库商品若为进口漂针浆，则到港日应在货主和厂库之间已经确定的提货日之前六个月内。</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溢短结算</w:t>
      </w:r>
    </w:p>
    <w:p>
      <w:pPr>
        <w:spacing w:line="560" w:lineRule="exact"/>
        <w:ind w:firstLine="600" w:firstLineChars="200"/>
        <w:rPr>
          <w:rFonts w:eastAsia="方正仿宋简体"/>
          <w:sz w:val="30"/>
          <w:szCs w:val="30"/>
        </w:rPr>
      </w:pPr>
      <w:r>
        <w:rPr>
          <w:rFonts w:eastAsia="方正仿宋简体"/>
          <w:sz w:val="30"/>
          <w:szCs w:val="30"/>
        </w:rPr>
        <w:t>出库商品重量以指定检验机构签发的重量检验报告为准。</w:t>
      </w:r>
    </w:p>
    <w:p>
      <w:pPr>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货主应按约定的提货日和发货计划到厂库提货。过了提货日但在约定的提货日后25日内（含第二十五日）到厂库提货，或因非厂库过错的原因而无法按约定的日发货计划提货，厂库仍应按照漂针浆期货合约规定的质量标准承担有关商品质量的责任，并按照当时各货主的提货情况统一安排发货计划，直至全部发完。货主应向厂库支付滞纳金。</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货主未在约定的提货日后25日内（含第二十五日）到厂库提货，厂库标准仓单被注销，货主须向厂库支付滞纳金，对应商品转为现货，具体提货事宜由双方自行协商。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第三十六条 </w:t>
      </w:r>
      <w:r>
        <w:rPr>
          <w:rFonts w:eastAsia="方正仿宋简体"/>
          <w:sz w:val="30"/>
          <w:szCs w:val="30"/>
        </w:rPr>
        <w:t>货主在提货日到库提货，厂库未按约定的发货计划发货，但在约定的提货日后25日内（含第二十五日）完成了相应商品的发货，厂库应向货主支付赔偿金。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第三十七条 </w:t>
      </w:r>
      <w:r>
        <w:rPr>
          <w:rFonts w:eastAsia="方正仿宋简体"/>
          <w:sz w:val="30"/>
          <w:szCs w:val="30"/>
        </w:rPr>
        <w:t>厂库在约定的提货日后25日内（含第二十五日）未完成按日发货计划相应商品的发货，货主可做如下选择：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（一）货主在约定提货日后的第25日向厂库提出自约定提货日后的第26日起，终止接受厂库应发而未发的剩余商品，厂库须向货主返还货款并支付追加赔偿金。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赔偿结算价×应发而未发的商品数量×120%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赔偿结算价为约定提货日后的第26日前一交易日交易所挂牌交易的最近月份对应期货合约的结算价。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（二）货主在约定提货日后的第25日未向厂库提出终止接受厂库应发而未发的剩余商品，则剩余商品具体提货事宜由双方自行协商。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 xml:space="preserve">第三十八条 </w:t>
      </w:r>
      <w:r>
        <w:rPr>
          <w:rFonts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 xml:space="preserve">第三十九条 </w:t>
      </w:r>
      <w:r>
        <w:rPr>
          <w:rFonts w:eastAsia="方正仿宋简体"/>
          <w:sz w:val="30"/>
          <w:szCs w:val="30"/>
        </w:rPr>
        <w:t>当货主发生第三十四条、第三十五条中的违约行为时，首先由货主直接向厂库支付滞纳金。货主未支付的或支付数额不足的，厂库可通过包括法律程序在内的其他手段向货主追索。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 xml:space="preserve">第四十条 </w:t>
      </w:r>
      <w:r>
        <w:rPr>
          <w:rFonts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 xml:space="preserve">第四十一条 </w:t>
      </w:r>
      <w:r>
        <w:rPr>
          <w:rFonts w:eastAsia="方正仿宋简体"/>
          <w:sz w:val="30"/>
          <w:szCs w:val="30"/>
        </w:rPr>
        <w:t>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标准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第四十二条 </w:t>
      </w:r>
      <w:r>
        <w:rPr>
          <w:rFonts w:eastAsia="方正仿宋简体"/>
          <w:sz w:val="30"/>
          <w:szCs w:val="30"/>
        </w:rPr>
        <w:t>漂针浆期货合约的最低交易保证金为合约价值的4%。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第四十三条 </w:t>
      </w:r>
      <w:r>
        <w:rPr>
          <w:rFonts w:eastAsia="方正仿宋简体"/>
          <w:sz w:val="30"/>
          <w:szCs w:val="30"/>
        </w:rPr>
        <w:t>漂针浆期货合约上市运行不同阶段的交易保证金收取标准为：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漂针浆交易保证金比例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第四十四条 </w:t>
      </w:r>
      <w:r>
        <w:rPr>
          <w:rFonts w:eastAsia="方正仿宋简体"/>
          <w:sz w:val="30"/>
          <w:szCs w:val="30"/>
        </w:rPr>
        <w:t>漂针浆期货合约涨跌停板幅度为上一交易日结算价±3%。</w:t>
      </w:r>
    </w:p>
    <w:p>
      <w:pPr>
        <w:spacing w:line="56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漂针浆期货合约在不同时期的限仓比例和限仓数额具体规定如下：</w:t>
      </w:r>
    </w:p>
    <w:p>
      <w:pPr>
        <w:spacing w:line="560" w:lineRule="exact"/>
        <w:ind w:firstLine="480" w:firstLineChars="200"/>
        <w:rPr>
          <w:rFonts w:eastAsia="方正仿宋简体"/>
          <w:sz w:val="30"/>
          <w:szCs w:val="30"/>
        </w:rPr>
      </w:pPr>
      <w:r>
        <w:rPr>
          <w:rFonts w:hint="eastAsia" w:eastAsia="方正仿宋简体"/>
          <w:bCs/>
          <w:color w:val="000000"/>
          <w:sz w:val="24"/>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00"/>
        <w:gridCol w:w="1530"/>
        <w:gridCol w:w="1388"/>
        <w:gridCol w:w="1224"/>
        <w:gridCol w:w="1002"/>
        <w:gridCol w:w="1142"/>
        <w:gridCol w:w="1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98" w:type="pct"/>
            <w:vMerge w:val="restart"/>
            <w:vAlign w:val="center"/>
          </w:tcPr>
          <w:p>
            <w:pPr>
              <w:spacing w:line="560" w:lineRule="exact"/>
              <w:jc w:val="center"/>
              <w:rPr>
                <w:rFonts w:eastAsia="方正仿宋简体"/>
                <w:bCs/>
                <w:color w:val="000000"/>
                <w:sz w:val="24"/>
              </w:rPr>
            </w:pPr>
          </w:p>
        </w:tc>
        <w:tc>
          <w:tcPr>
            <w:tcW w:w="1745" w:type="pct"/>
            <w:gridSpan w:val="2"/>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合约挂牌至交割月前第二月的最后一个交易日</w:t>
            </w:r>
          </w:p>
        </w:tc>
        <w:tc>
          <w:tcPr>
            <w:tcW w:w="1331"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交割月前第一月</w:t>
            </w:r>
          </w:p>
        </w:tc>
        <w:tc>
          <w:tcPr>
            <w:tcW w:w="1324"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598" w:type="pct"/>
            <w:vMerge w:val="continue"/>
            <w:vAlign w:val="center"/>
          </w:tcPr>
          <w:p>
            <w:pPr>
              <w:spacing w:line="560" w:lineRule="exact"/>
              <w:jc w:val="center"/>
              <w:rPr>
                <w:rFonts w:eastAsia="方正仿宋简体"/>
                <w:bCs/>
                <w:color w:val="000000"/>
                <w:sz w:val="24"/>
              </w:rPr>
            </w:pPr>
          </w:p>
        </w:tc>
        <w:tc>
          <w:tcPr>
            <w:tcW w:w="1745" w:type="pct"/>
            <w:gridSpan w:val="2"/>
            <w:tcBorders>
              <w:bottom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31"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24"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598" w:type="pct"/>
            <w:vMerge w:val="continue"/>
            <w:vAlign w:val="center"/>
          </w:tcPr>
          <w:p>
            <w:pPr>
              <w:spacing w:line="560" w:lineRule="exact"/>
              <w:jc w:val="center"/>
              <w:rPr>
                <w:rFonts w:eastAsia="方正仿宋简体"/>
                <w:bCs/>
                <w:color w:val="000000"/>
                <w:sz w:val="24"/>
              </w:rPr>
            </w:pPr>
          </w:p>
        </w:tc>
        <w:tc>
          <w:tcPr>
            <w:tcW w:w="91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非期货公司</w:t>
            </w:r>
          </w:p>
          <w:p>
            <w:pPr>
              <w:spacing w:line="560" w:lineRule="exact"/>
              <w:jc w:val="center"/>
              <w:rPr>
                <w:rFonts w:eastAsia="方正仿宋简体"/>
                <w:bCs/>
                <w:color w:val="000000"/>
                <w:sz w:val="24"/>
              </w:rPr>
            </w:pPr>
            <w:r>
              <w:rPr>
                <w:rFonts w:eastAsia="方正仿宋简体"/>
                <w:bCs/>
                <w:color w:val="000000"/>
                <w:sz w:val="24"/>
              </w:rPr>
              <w:t>会员</w:t>
            </w:r>
          </w:p>
        </w:tc>
        <w:tc>
          <w:tcPr>
            <w:tcW w:w="83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732"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599"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683" w:type="pct"/>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641"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598" w:type="pct"/>
            <w:vAlign w:val="center"/>
          </w:tcPr>
          <w:p>
            <w:pPr>
              <w:spacing w:line="560" w:lineRule="exact"/>
              <w:jc w:val="center"/>
              <w:rPr>
                <w:rFonts w:eastAsia="方正仿宋简体"/>
                <w:bCs/>
                <w:color w:val="000000"/>
                <w:sz w:val="24"/>
              </w:rPr>
            </w:pPr>
            <w:r>
              <w:rPr>
                <w:rFonts w:eastAsia="方正仿宋简体"/>
                <w:bCs/>
                <w:color w:val="000000"/>
                <w:kern w:val="0"/>
                <w:sz w:val="24"/>
              </w:rPr>
              <w:t>漂针浆</w:t>
            </w:r>
          </w:p>
        </w:tc>
        <w:tc>
          <w:tcPr>
            <w:tcW w:w="915" w:type="pct"/>
            <w:tcBorders>
              <w:top w:val="single" w:color="auto" w:sz="4" w:space="0"/>
            </w:tcBorders>
            <w:vAlign w:val="center"/>
          </w:tcPr>
          <w:p>
            <w:pPr>
              <w:spacing w:line="560" w:lineRule="exact"/>
              <w:jc w:val="center"/>
              <w:rPr>
                <w:rFonts w:eastAsia="方正仿宋简体"/>
                <w:bCs/>
                <w:color w:val="000000"/>
                <w:sz w:val="24"/>
              </w:rPr>
            </w:pPr>
            <w:r>
              <w:rPr>
                <w:rFonts w:eastAsia="方正仿宋简体"/>
                <w:bCs/>
                <w:kern w:val="0"/>
                <w:sz w:val="24"/>
              </w:rPr>
              <w:t>4500</w:t>
            </w:r>
          </w:p>
        </w:tc>
        <w:tc>
          <w:tcPr>
            <w:tcW w:w="830" w:type="pct"/>
            <w:tcBorders>
              <w:top w:val="single" w:color="auto" w:sz="4" w:space="0"/>
            </w:tcBorders>
            <w:vAlign w:val="center"/>
          </w:tcPr>
          <w:p>
            <w:pPr>
              <w:spacing w:line="560" w:lineRule="exact"/>
              <w:jc w:val="center"/>
              <w:rPr>
                <w:rFonts w:eastAsia="方正仿宋简体"/>
                <w:bCs/>
                <w:color w:val="000000"/>
                <w:sz w:val="24"/>
              </w:rPr>
            </w:pPr>
            <w:r>
              <w:rPr>
                <w:rFonts w:eastAsia="方正仿宋简体"/>
                <w:bCs/>
                <w:kern w:val="0"/>
                <w:sz w:val="24"/>
              </w:rPr>
              <w:t>4500</w:t>
            </w:r>
          </w:p>
        </w:tc>
        <w:tc>
          <w:tcPr>
            <w:tcW w:w="732" w:type="pct"/>
            <w:vAlign w:val="center"/>
          </w:tcPr>
          <w:p>
            <w:pPr>
              <w:spacing w:line="560" w:lineRule="exact"/>
              <w:jc w:val="center"/>
              <w:rPr>
                <w:rFonts w:eastAsia="方正仿宋简体"/>
                <w:bCs/>
                <w:color w:val="000000"/>
                <w:sz w:val="24"/>
              </w:rPr>
            </w:pPr>
            <w:r>
              <w:rPr>
                <w:rFonts w:eastAsia="方正仿宋简体"/>
                <w:bCs/>
                <w:kern w:val="0"/>
                <w:sz w:val="24"/>
              </w:rPr>
              <w:t>900</w:t>
            </w:r>
          </w:p>
        </w:tc>
        <w:tc>
          <w:tcPr>
            <w:tcW w:w="599" w:type="pct"/>
            <w:vAlign w:val="center"/>
          </w:tcPr>
          <w:p>
            <w:pPr>
              <w:spacing w:line="560" w:lineRule="exact"/>
              <w:jc w:val="center"/>
              <w:rPr>
                <w:rFonts w:eastAsia="方正仿宋简体"/>
                <w:bCs/>
                <w:color w:val="000000"/>
                <w:sz w:val="24"/>
              </w:rPr>
            </w:pPr>
            <w:r>
              <w:rPr>
                <w:rFonts w:eastAsia="方正仿宋简体"/>
                <w:bCs/>
                <w:kern w:val="0"/>
                <w:sz w:val="24"/>
              </w:rPr>
              <w:t>900</w:t>
            </w:r>
          </w:p>
        </w:tc>
        <w:tc>
          <w:tcPr>
            <w:tcW w:w="683" w:type="pct"/>
            <w:vAlign w:val="center"/>
          </w:tcPr>
          <w:p>
            <w:pPr>
              <w:spacing w:line="560" w:lineRule="exact"/>
              <w:jc w:val="center"/>
              <w:rPr>
                <w:rFonts w:eastAsia="方正仿宋简体"/>
                <w:bCs/>
                <w:color w:val="000000"/>
                <w:sz w:val="24"/>
              </w:rPr>
            </w:pPr>
            <w:r>
              <w:rPr>
                <w:rFonts w:eastAsia="方正仿宋简体"/>
                <w:bCs/>
                <w:kern w:val="0"/>
                <w:sz w:val="24"/>
              </w:rPr>
              <w:t>300</w:t>
            </w:r>
          </w:p>
        </w:tc>
        <w:tc>
          <w:tcPr>
            <w:tcW w:w="641" w:type="pct"/>
            <w:vAlign w:val="center"/>
          </w:tcPr>
          <w:p>
            <w:pPr>
              <w:spacing w:line="560" w:lineRule="exact"/>
              <w:jc w:val="center"/>
              <w:rPr>
                <w:rFonts w:eastAsia="方正仿宋简体"/>
                <w:bCs/>
                <w:color w:val="000000"/>
                <w:sz w:val="24"/>
              </w:rPr>
            </w:pPr>
            <w:r>
              <w:rPr>
                <w:rFonts w:eastAsia="方正仿宋简体"/>
                <w:bCs/>
                <w:kern w:val="0"/>
                <w:sz w:val="24"/>
              </w:rPr>
              <w:t>300</w:t>
            </w: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第四十六条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漂针浆期货合约的</w:t>
      </w:r>
      <w:r>
        <w:rPr>
          <w:rFonts w:hint="eastAsia" w:eastAsia="方正仿宋简体"/>
          <w:sz w:val="30"/>
          <w:szCs w:val="30"/>
        </w:rPr>
        <w:t>一般</w:t>
      </w:r>
      <w:r>
        <w:rPr>
          <w:rFonts w:eastAsia="方正仿宋简体"/>
          <w:sz w:val="30"/>
          <w:szCs w:val="30"/>
        </w:rPr>
        <w:t>持仓应当调整为2手的整倍数（遇市场特殊情况无法按期调整的，可以顺延一天）。进入交割月后，漂针浆期货合约</w:t>
      </w:r>
      <w:r>
        <w:rPr>
          <w:rFonts w:hint="eastAsia" w:eastAsia="方正仿宋简体"/>
          <w:sz w:val="30"/>
          <w:szCs w:val="30"/>
        </w:rPr>
        <w:t>一般</w:t>
      </w:r>
      <w:r>
        <w:rPr>
          <w:rFonts w:eastAsia="方正仿宋简体"/>
          <w:sz w:val="30"/>
          <w:szCs w:val="30"/>
        </w:rPr>
        <w:t>持仓应当是2手的整倍数，新开仓、平仓也应当是2手的整倍数。</w:t>
      </w:r>
    </w:p>
    <w:p>
      <w:pPr>
        <w:spacing w:line="560" w:lineRule="exact"/>
        <w:ind w:firstLine="602" w:firstLineChars="200"/>
        <w:rPr>
          <w:rFonts w:eastAsia="方正仿宋简体"/>
          <w:sz w:val="30"/>
          <w:szCs w:val="30"/>
        </w:rPr>
      </w:pPr>
      <w:r>
        <w:rPr>
          <w:rFonts w:eastAsia="方正仿宋简体"/>
          <w:b/>
          <w:sz w:val="30"/>
          <w:szCs w:val="30"/>
        </w:rPr>
        <w:t xml:space="preserve">第四十七条 </w:t>
      </w:r>
      <w:r>
        <w:rPr>
          <w:rFonts w:eastAsia="方正仿宋简体"/>
          <w:sz w:val="30"/>
          <w:szCs w:val="30"/>
        </w:rPr>
        <w:t>交易所对某一漂针浆期货合约采取强制减仓的，其申报平仓数量、持仓盈利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该漂针浆期货合约的单位净持仓亏损大于或者等于强制减仓基准日结算价8%的所有申报平仓数量的总和为平仓数量。</w:t>
      </w:r>
    </w:p>
    <w:p>
      <w:pPr>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60" w:lineRule="exact"/>
        <w:ind w:firstLine="600" w:firstLineChars="200"/>
        <w:rPr>
          <w:rFonts w:eastAsia="方正仿宋简体"/>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第四十八条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第四十九条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rPr>
          <w:rFonts w:eastAsia="方正仿宋简体"/>
          <w:sz w:val="30"/>
          <w:szCs w:val="30"/>
        </w:rPr>
      </w:pPr>
      <w:r>
        <w:rPr>
          <w:rFonts w:eastAsia="方正仿宋简体"/>
          <w:sz w:val="30"/>
          <w:szCs w:val="30"/>
        </w:rPr>
        <w:br w:type="page"/>
      </w:r>
    </w:p>
    <w:p>
      <w:pPr>
        <w:keepNext/>
        <w:keepLines/>
        <w:spacing w:before="120" w:after="120" w:line="560" w:lineRule="exact"/>
        <w:jc w:val="center"/>
        <w:outlineLvl w:val="0"/>
        <w:rPr>
          <w:rFonts w:eastAsia="方正大标宋简体"/>
          <w:b/>
          <w:bCs/>
          <w:kern w:val="44"/>
          <w:sz w:val="44"/>
          <w:szCs w:val="44"/>
        </w:rPr>
      </w:pPr>
      <w:bookmarkStart w:id="5" w:name="_Toc199506232"/>
      <w:r>
        <w:rPr>
          <w:rFonts w:hint="eastAsia" w:eastAsia="方正大标宋简体"/>
          <w:b/>
          <w:bCs/>
          <w:kern w:val="44"/>
          <w:sz w:val="44"/>
          <w:szCs w:val="44"/>
        </w:rPr>
        <w:t>上海期货交易所铸造铝合金期货业务细则</w:t>
      </w:r>
      <w:bookmarkEnd w:id="5"/>
    </w:p>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32"/>
          <w:szCs w:val="32"/>
        </w:rPr>
        <w:t>（修订版）</w:t>
      </w:r>
    </w:p>
    <w:p>
      <w:pPr>
        <w:spacing w:before="156" w:beforeLines="50"/>
        <w:jc w:val="center"/>
        <w:rPr>
          <w:rFonts w:ascii="黑体" w:hAnsi="黑体" w:eastAsia="黑体"/>
          <w:sz w:val="30"/>
          <w:szCs w:val="30"/>
        </w:rPr>
      </w:pPr>
    </w:p>
    <w:p>
      <w:pPr>
        <w:spacing w:before="156" w:beforeLines="50"/>
        <w:jc w:val="center"/>
        <w:rPr>
          <w:rFonts w:ascii="黑体" w:hAnsi="黑体" w:eastAsia="黑体"/>
          <w:sz w:val="30"/>
          <w:szCs w:val="30"/>
        </w:rPr>
      </w:pPr>
      <w:r>
        <w:rPr>
          <w:rFonts w:hint="eastAsia" w:ascii="黑体" w:hAnsi="黑体" w:eastAsia="黑体"/>
          <w:sz w:val="30"/>
          <w:szCs w:val="30"/>
        </w:rPr>
        <w:t>第一章  总 则</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第一条</w:t>
      </w:r>
      <w:r>
        <w:rPr>
          <w:rFonts w:hint="eastAsia" w:eastAsia="方正仿宋简体"/>
          <w:color w:val="000000"/>
          <w:sz w:val="30"/>
          <w:szCs w:val="30"/>
        </w:rPr>
        <w:t xml:space="preserve"> 为了规范上海期货交易所（以下简称交易所）铸造铝合金期货相关业务，根据《上海期货交易所交易规则》《上海期货交易所铸造铝合金期货合约》以及相关业务规则，制定本细则。</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第二条</w:t>
      </w:r>
      <w:r>
        <w:rPr>
          <w:rFonts w:hint="eastAsia" w:eastAsia="方正仿宋简体"/>
          <w:color w:val="000000"/>
          <w:sz w:val="30"/>
          <w:szCs w:val="30"/>
        </w:rPr>
        <w:t xml:space="preserve"> 交易所、会员、客户、交割库、指定检验机构、期货保证金存管机构以及期货市场其他参与者应当遵守本细则。</w:t>
      </w:r>
    </w:p>
    <w:p>
      <w:pPr>
        <w:spacing w:before="156" w:beforeLines="50"/>
        <w:jc w:val="center"/>
        <w:rPr>
          <w:rFonts w:ascii="黑体" w:hAnsi="黑体" w:eastAsia="黑体"/>
          <w:sz w:val="30"/>
          <w:szCs w:val="30"/>
        </w:rPr>
      </w:pPr>
      <w:r>
        <w:rPr>
          <w:rFonts w:hint="eastAsia" w:ascii="黑体" w:hAnsi="黑体" w:eastAsia="黑体"/>
          <w:sz w:val="30"/>
          <w:szCs w:val="30"/>
        </w:rPr>
        <w:t>第二章 交易</w:t>
      </w:r>
      <w:r>
        <w:rPr>
          <w:rFonts w:ascii="黑体" w:hAnsi="黑体" w:eastAsia="黑体"/>
          <w:sz w:val="30"/>
          <w:szCs w:val="30"/>
        </w:rPr>
        <w:t>业务</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第三条</w:t>
      </w:r>
      <w:r>
        <w:rPr>
          <w:rFonts w:hint="eastAsia" w:eastAsia="方正仿宋简体"/>
          <w:color w:val="000000"/>
          <w:sz w:val="30"/>
          <w:szCs w:val="30"/>
        </w:rPr>
        <w:t xml:space="preserve"> </w:t>
      </w:r>
      <w:r>
        <w:rPr>
          <w:rFonts w:eastAsia="方正仿宋简体"/>
          <w:color w:val="000000"/>
          <w:sz w:val="30"/>
          <w:szCs w:val="30"/>
        </w:rPr>
        <w:t>铸造铝合金期货合约的交易单位为10吨/手。</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第四条</w:t>
      </w:r>
      <w:r>
        <w:rPr>
          <w:rFonts w:hint="eastAsia" w:eastAsia="方正仿宋简体"/>
          <w:color w:val="000000"/>
          <w:sz w:val="30"/>
          <w:szCs w:val="30"/>
        </w:rPr>
        <w:t xml:space="preserve"> </w:t>
      </w:r>
      <w:r>
        <w:rPr>
          <w:rFonts w:eastAsia="方正仿宋简体"/>
          <w:color w:val="000000"/>
          <w:sz w:val="30"/>
          <w:szCs w:val="30"/>
        </w:rPr>
        <w:t>铸造铝合金期货合约的报价单位为元（人民币）/吨。</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第五条</w:t>
      </w:r>
      <w:r>
        <w:rPr>
          <w:rFonts w:hint="eastAsia" w:eastAsia="方正仿宋简体"/>
          <w:color w:val="000000"/>
          <w:sz w:val="30"/>
          <w:szCs w:val="30"/>
        </w:rPr>
        <w:t xml:space="preserve"> </w:t>
      </w:r>
      <w:r>
        <w:rPr>
          <w:rFonts w:eastAsia="方正仿宋简体"/>
          <w:color w:val="000000"/>
          <w:sz w:val="30"/>
          <w:szCs w:val="30"/>
        </w:rPr>
        <w:t>铸造铝合金期货合约的最小变动价位为5元/吨。</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第六条</w:t>
      </w:r>
      <w:r>
        <w:rPr>
          <w:rFonts w:hint="eastAsia" w:eastAsia="方正仿宋简体"/>
          <w:color w:val="000000"/>
          <w:sz w:val="30"/>
          <w:szCs w:val="30"/>
        </w:rPr>
        <w:t xml:space="preserve"> </w:t>
      </w:r>
      <w:r>
        <w:rPr>
          <w:rFonts w:eastAsia="方正仿宋简体"/>
          <w:color w:val="000000"/>
          <w:sz w:val="30"/>
          <w:szCs w:val="30"/>
        </w:rPr>
        <w:t>铸造铝合金期货合约月份为1~12月。</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第七条</w:t>
      </w:r>
      <w:r>
        <w:rPr>
          <w:rFonts w:hint="eastAsia" w:eastAsia="方正仿宋简体"/>
          <w:color w:val="000000"/>
          <w:sz w:val="30"/>
          <w:szCs w:val="30"/>
        </w:rPr>
        <w:t xml:space="preserve"> </w:t>
      </w:r>
      <w:r>
        <w:rPr>
          <w:rFonts w:eastAsia="方正仿宋简体"/>
          <w:color w:val="000000"/>
          <w:sz w:val="30"/>
          <w:szCs w:val="30"/>
        </w:rPr>
        <w:t>铸造铝合金期货合约的交易时间为上午9:00~11:30 ，下午1:30~3:00和交易所规定的其他交易时间。</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第八条</w:t>
      </w:r>
      <w:r>
        <w:rPr>
          <w:rFonts w:hint="eastAsia" w:eastAsia="方正仿宋简体"/>
          <w:color w:val="000000"/>
          <w:sz w:val="30"/>
          <w:szCs w:val="30"/>
        </w:rPr>
        <w:t xml:space="preserve"> </w:t>
      </w:r>
      <w:r>
        <w:rPr>
          <w:rFonts w:eastAsia="方正仿宋简体"/>
          <w:color w:val="000000"/>
          <w:sz w:val="30"/>
          <w:szCs w:val="30"/>
        </w:rPr>
        <w:t>铸造铝合金期货合约的最后交易日为合约月份的15日，遇国家法定节假日顺延，春节月份等最后交易日交易所可另行调整并通知。</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第九条</w:t>
      </w:r>
      <w:r>
        <w:rPr>
          <w:rFonts w:hint="eastAsia" w:eastAsia="方正仿宋简体"/>
          <w:color w:val="000000"/>
          <w:sz w:val="30"/>
          <w:szCs w:val="30"/>
        </w:rPr>
        <w:t xml:space="preserve"> </w:t>
      </w:r>
      <w:r>
        <w:rPr>
          <w:rFonts w:eastAsia="方正仿宋简体"/>
          <w:color w:val="000000"/>
          <w:sz w:val="30"/>
          <w:szCs w:val="30"/>
        </w:rPr>
        <w:t>铸造铝合金期货合约的交易代码为AD。</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第十条</w:t>
      </w:r>
      <w:r>
        <w:rPr>
          <w:rFonts w:eastAsia="方正仿宋简体"/>
          <w:color w:val="000000"/>
          <w:sz w:val="30"/>
          <w:szCs w:val="30"/>
        </w:rPr>
        <w:t> 铸造铝合金期货套期保值交易</w:t>
      </w:r>
      <w:r>
        <w:rPr>
          <w:rFonts w:hint="eastAsia" w:eastAsia="方正仿宋简体"/>
          <w:color w:val="000000"/>
          <w:sz w:val="30"/>
          <w:szCs w:val="30"/>
        </w:rPr>
        <w:t>持仓额度</w:t>
      </w:r>
      <w:r>
        <w:rPr>
          <w:rFonts w:eastAsia="方正仿宋简体"/>
          <w:color w:val="000000"/>
          <w:sz w:val="30"/>
          <w:szCs w:val="30"/>
        </w:rPr>
        <w:t>和套利交易</w:t>
      </w:r>
      <w:r>
        <w:rPr>
          <w:rFonts w:hint="eastAsia" w:eastAsia="方正仿宋简体"/>
          <w:color w:val="000000"/>
          <w:sz w:val="30"/>
          <w:szCs w:val="30"/>
        </w:rPr>
        <w:t>持仓额度</w:t>
      </w:r>
      <w:r>
        <w:rPr>
          <w:rFonts w:eastAsia="方正仿宋简体"/>
          <w:color w:val="000000"/>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第十一条</w:t>
      </w:r>
      <w:r>
        <w:rPr>
          <w:rFonts w:eastAsia="方正仿宋简体"/>
          <w:color w:val="000000"/>
          <w:sz w:val="30"/>
          <w:szCs w:val="30"/>
        </w:rPr>
        <w:t> </w:t>
      </w:r>
      <w:r>
        <w:rPr>
          <w:rFonts w:hint="eastAsia" w:eastAsia="方正仿宋简体"/>
          <w:color w:val="000000"/>
          <w:sz w:val="30"/>
          <w:szCs w:val="30"/>
        </w:rPr>
        <w:t>按合约方式申请</w:t>
      </w:r>
      <w:r>
        <w:rPr>
          <w:rFonts w:eastAsia="方正仿宋简体"/>
          <w:color w:val="000000"/>
          <w:sz w:val="30"/>
          <w:szCs w:val="30"/>
        </w:rPr>
        <w:t>铸造铝合金期货一般月份套期保值</w:t>
      </w:r>
      <w:r>
        <w:rPr>
          <w:rFonts w:hint="eastAsia" w:eastAsia="方正仿宋简体"/>
          <w:color w:val="000000"/>
          <w:sz w:val="30"/>
          <w:szCs w:val="30"/>
        </w:rPr>
        <w:t>交易持仓额度的，</w:t>
      </w:r>
      <w:r>
        <w:rPr>
          <w:rFonts w:eastAsia="方正仿宋简体"/>
          <w:color w:val="000000"/>
          <w:sz w:val="30"/>
          <w:szCs w:val="30"/>
        </w:rPr>
        <w:t>应当在该套期保值所涉合约交割月前第二月的最后一个交易日之前提出，逾期交易所不再受理。</w:t>
      </w:r>
      <w:r>
        <w:rPr>
          <w:rFonts w:hint="eastAsia" w:eastAsia="方正仿宋简体"/>
          <w:color w:val="000000"/>
          <w:sz w:val="30"/>
          <w:szCs w:val="30"/>
        </w:rPr>
        <w:t>按品种方式申请一般月份套期保值交易持仓额度的，按照《上海期货交易所套期保值交易管理办法》相关</w:t>
      </w:r>
      <w:r>
        <w:rPr>
          <w:rFonts w:eastAsia="方正仿宋简体"/>
          <w:color w:val="000000"/>
          <w:sz w:val="30"/>
          <w:szCs w:val="30"/>
        </w:rPr>
        <w:t>规定</w:t>
      </w:r>
      <w:r>
        <w:rPr>
          <w:rFonts w:hint="eastAsia" w:eastAsia="方正仿宋简体"/>
          <w:color w:val="000000"/>
          <w:sz w:val="30"/>
          <w:szCs w:val="30"/>
        </w:rPr>
        <w:t>执行。</w:t>
      </w:r>
    </w:p>
    <w:p>
      <w:pPr>
        <w:spacing w:line="560" w:lineRule="exact"/>
        <w:ind w:firstLine="600" w:firstLineChars="200"/>
        <w:rPr>
          <w:rFonts w:eastAsia="方正仿宋简体"/>
          <w:color w:val="000000"/>
          <w:sz w:val="30"/>
          <w:szCs w:val="30"/>
        </w:rPr>
      </w:pPr>
      <w:r>
        <w:rPr>
          <w:rFonts w:eastAsia="方正仿宋简体"/>
          <w:color w:val="000000"/>
          <w:sz w:val="30"/>
          <w:szCs w:val="30"/>
        </w:rPr>
        <w:t>铸造铝合金期货临近交割月份套期保值交易</w:t>
      </w:r>
      <w:r>
        <w:rPr>
          <w:rFonts w:hint="eastAsia" w:eastAsia="方正仿宋简体"/>
          <w:color w:val="000000"/>
          <w:sz w:val="30"/>
          <w:szCs w:val="30"/>
        </w:rPr>
        <w:t>持仓额度</w:t>
      </w:r>
      <w:r>
        <w:rPr>
          <w:rFonts w:eastAsia="方正仿宋简体"/>
          <w:color w:val="000000"/>
          <w:sz w:val="30"/>
          <w:szCs w:val="30"/>
        </w:rPr>
        <w:t>的申请应当在该套期保值所涉合约交割月前第</w:t>
      </w:r>
      <w:r>
        <w:rPr>
          <w:rFonts w:hint="eastAsia" w:eastAsia="方正仿宋简体"/>
          <w:color w:val="000000"/>
          <w:sz w:val="30"/>
          <w:szCs w:val="30"/>
        </w:rPr>
        <w:t>二</w:t>
      </w:r>
      <w:r>
        <w:rPr>
          <w:rFonts w:eastAsia="方正仿宋简体"/>
          <w:color w:val="000000"/>
          <w:sz w:val="30"/>
          <w:szCs w:val="30"/>
        </w:rPr>
        <w:t>月的第一个交易日至交割月前第一月的最后一个交易日之间提出，逾期交易所不再受理；铸造铝合金期货临近交割月份套利交易</w:t>
      </w:r>
      <w:r>
        <w:rPr>
          <w:rFonts w:hint="eastAsia" w:eastAsia="方正仿宋简体"/>
          <w:color w:val="000000"/>
          <w:sz w:val="30"/>
          <w:szCs w:val="30"/>
        </w:rPr>
        <w:t>持仓额度</w:t>
      </w:r>
      <w:r>
        <w:rPr>
          <w:rFonts w:eastAsia="方正仿宋简体"/>
          <w:color w:val="000000"/>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第十二条</w:t>
      </w:r>
      <w:r>
        <w:rPr>
          <w:rFonts w:hint="eastAsia" w:eastAsia="方正仿宋简体"/>
          <w:color w:val="000000"/>
          <w:sz w:val="30"/>
          <w:szCs w:val="30"/>
        </w:rPr>
        <w:t xml:space="preserve"> </w:t>
      </w:r>
      <w:r>
        <w:rPr>
          <w:rFonts w:eastAsia="方正仿宋简体"/>
          <w:color w:val="000000"/>
          <w:sz w:val="30"/>
          <w:szCs w:val="30"/>
        </w:rPr>
        <w:t>铸造铝合金期货套期保值交易</w:t>
      </w:r>
      <w:r>
        <w:rPr>
          <w:rFonts w:hint="eastAsia" w:eastAsia="方正仿宋简体"/>
          <w:color w:val="000000"/>
          <w:sz w:val="30"/>
          <w:szCs w:val="30"/>
        </w:rPr>
        <w:t>持仓额度</w:t>
      </w:r>
      <w:r>
        <w:rPr>
          <w:rFonts w:eastAsia="方正仿宋简体"/>
          <w:color w:val="000000"/>
          <w:sz w:val="30"/>
          <w:szCs w:val="30"/>
        </w:rPr>
        <w:t>自交割月份第一交易日起不得重复使用。</w:t>
      </w:r>
    </w:p>
    <w:p>
      <w:pPr>
        <w:spacing w:before="156" w:beforeLines="50"/>
        <w:jc w:val="center"/>
        <w:rPr>
          <w:rFonts w:ascii="黑体" w:hAnsi="黑体" w:eastAsia="黑体"/>
          <w:sz w:val="30"/>
          <w:szCs w:val="30"/>
        </w:rPr>
      </w:pPr>
      <w:r>
        <w:rPr>
          <w:rFonts w:hint="eastAsia" w:ascii="黑体" w:hAnsi="黑体" w:eastAsia="黑体"/>
          <w:sz w:val="30"/>
          <w:szCs w:val="30"/>
        </w:rPr>
        <w:t>第三章</w:t>
      </w:r>
      <w:r>
        <w:rPr>
          <w:rFonts w:ascii="黑体" w:hAnsi="黑体" w:eastAsia="黑体"/>
          <w:sz w:val="30"/>
          <w:szCs w:val="30"/>
        </w:rPr>
        <w:t xml:space="preserve"> </w:t>
      </w:r>
      <w:r>
        <w:rPr>
          <w:rFonts w:hint="eastAsia" w:ascii="黑体" w:hAnsi="黑体" w:eastAsia="黑体"/>
          <w:sz w:val="30"/>
          <w:szCs w:val="30"/>
        </w:rPr>
        <w:t>交割业务</w:t>
      </w:r>
    </w:p>
    <w:p>
      <w:pPr>
        <w:spacing w:line="560" w:lineRule="exact"/>
        <w:jc w:val="center"/>
        <w:rPr>
          <w:rFonts w:eastAsia="方正仿宋简体"/>
          <w:b/>
          <w:color w:val="000000"/>
          <w:sz w:val="30"/>
          <w:szCs w:val="30"/>
        </w:rPr>
      </w:pPr>
      <w:r>
        <w:rPr>
          <w:rFonts w:hint="eastAsia" w:eastAsia="方正仿宋简体"/>
          <w:b/>
          <w:color w:val="000000"/>
          <w:sz w:val="30"/>
          <w:szCs w:val="30"/>
        </w:rPr>
        <w:t>第一节 一般规定</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第十三条</w:t>
      </w:r>
      <w:r>
        <w:rPr>
          <w:rFonts w:hint="eastAsia" w:eastAsia="方正仿宋简体"/>
          <w:color w:val="000000"/>
          <w:sz w:val="30"/>
          <w:szCs w:val="30"/>
        </w:rPr>
        <w:t xml:space="preserve"> 铸造铝合金期货适用期货转现货、仓库交割。</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铸造铝合金期货实行完税交割。</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十四</w:t>
      </w:r>
      <w:r>
        <w:rPr>
          <w:rFonts w:eastAsia="方正仿宋简体"/>
          <w:b/>
          <w:color w:val="000000"/>
          <w:sz w:val="30"/>
          <w:szCs w:val="30"/>
        </w:rPr>
        <w:t>条</w:t>
      </w:r>
      <w:r>
        <w:rPr>
          <w:rFonts w:hint="eastAsia" w:eastAsia="方正仿宋简体"/>
          <w:color w:val="000000"/>
          <w:sz w:val="30"/>
          <w:szCs w:val="30"/>
        </w:rPr>
        <w:t xml:space="preserve"> 铸造铝合金</w:t>
      </w:r>
      <w:r>
        <w:rPr>
          <w:rFonts w:eastAsia="方正仿宋简体"/>
          <w:color w:val="000000"/>
          <w:sz w:val="30"/>
          <w:szCs w:val="30"/>
        </w:rPr>
        <w:t>交割品级</w:t>
      </w:r>
      <w:r>
        <w:rPr>
          <w:rFonts w:hint="eastAsia" w:eastAsia="方正仿宋简体"/>
          <w:color w:val="000000"/>
          <w:sz w:val="30"/>
          <w:szCs w:val="30"/>
        </w:rPr>
        <w:t>详</w:t>
      </w:r>
      <w:r>
        <w:rPr>
          <w:rFonts w:eastAsia="方正仿宋简体"/>
          <w:color w:val="000000"/>
          <w:sz w:val="30"/>
          <w:szCs w:val="30"/>
        </w:rPr>
        <w:t>见《上海期货交易所铸造铝合金期货合约》。</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第十五条</w:t>
      </w:r>
      <w:r>
        <w:rPr>
          <w:rFonts w:eastAsia="方正仿宋简体"/>
          <w:color w:val="000000"/>
          <w:sz w:val="30"/>
          <w:szCs w:val="30"/>
        </w:rPr>
        <w:t xml:space="preserve"> </w:t>
      </w:r>
      <w:r>
        <w:rPr>
          <w:rFonts w:hint="eastAsia" w:eastAsia="方正仿宋简体"/>
          <w:color w:val="000000"/>
          <w:sz w:val="30"/>
          <w:szCs w:val="30"/>
        </w:rPr>
        <w:t>交割商品</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铸造铝合金期货交割商品应当是在交易所注册的生产企业生产的注册商标的商品。</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交割铸造铝合金的检验方法应当按照《上海期货交易所有色金属交割商品管理规定》的要求执行。</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铸造铝合金仓库每一标准仓单的有效期为该批次产品最早生产日期起360天以内，并且该批次产品应在最早生产日期起180天内进入交割仓库方可制成标准仓单。</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十六</w:t>
      </w:r>
      <w:r>
        <w:rPr>
          <w:rFonts w:eastAsia="方正仿宋简体"/>
          <w:b/>
          <w:color w:val="000000"/>
          <w:sz w:val="30"/>
          <w:szCs w:val="30"/>
        </w:rPr>
        <w:t>条</w:t>
      </w:r>
      <w:r>
        <w:rPr>
          <w:rFonts w:hint="eastAsia" w:eastAsia="方正仿宋简体"/>
          <w:color w:val="000000"/>
          <w:sz w:val="30"/>
          <w:szCs w:val="30"/>
        </w:rPr>
        <w:t xml:space="preserve"> </w:t>
      </w:r>
      <w:r>
        <w:rPr>
          <w:rFonts w:eastAsia="方正仿宋简体"/>
          <w:color w:val="000000"/>
          <w:sz w:val="30"/>
          <w:szCs w:val="30"/>
        </w:rPr>
        <w:t>交割商品的</w:t>
      </w:r>
      <w:r>
        <w:rPr>
          <w:rFonts w:hint="eastAsia" w:eastAsia="方正仿宋简体"/>
          <w:color w:val="000000"/>
          <w:sz w:val="30"/>
          <w:szCs w:val="30"/>
        </w:rPr>
        <w:t>规格与</w:t>
      </w:r>
      <w:r>
        <w:rPr>
          <w:rFonts w:eastAsia="方正仿宋简体"/>
          <w:color w:val="000000"/>
          <w:sz w:val="30"/>
          <w:szCs w:val="30"/>
        </w:rPr>
        <w:t>包装</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一）每一标准仓单的铸造铝合金，应当是同一生产企业生产、同一牌号、同一注册商标、同一块形、同一包装数量（捆重近似）的商品组成，并且组成每一标准仓单的铸造铝合金生产日期应当不超过连续60日，且以最早日期作为该标准仓单的生产日期。注册生产企业自行选定注册产品捆重，但要利于组手。每捆包装应采用聚酯打包带井字形捆扎，具体要求由交易所另行公告。捆扎应当坚固，同时标有醒目的、不易脱落的产品标识，注明牌号、注册商标、生产厂商、重量、生产批号（熔炼号）、生产日期等。每捆重量应在</w:t>
      </w:r>
      <w:r>
        <w:rPr>
          <w:rFonts w:eastAsia="方正仿宋简体"/>
          <w:color w:val="000000"/>
          <w:sz w:val="30"/>
          <w:szCs w:val="30"/>
        </w:rPr>
        <w:t>700KG</w:t>
      </w:r>
      <w:r>
        <w:rPr>
          <w:rFonts w:hint="eastAsia" w:eastAsia="方正仿宋简体"/>
          <w:color w:val="000000"/>
          <w:sz w:val="30"/>
          <w:szCs w:val="30"/>
        </w:rPr>
        <w:t>至</w:t>
      </w:r>
      <w:r>
        <w:rPr>
          <w:rFonts w:eastAsia="方正仿宋简体"/>
          <w:color w:val="000000"/>
          <w:sz w:val="30"/>
          <w:szCs w:val="30"/>
        </w:rPr>
        <w:t>1000KG</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w:t>
      </w:r>
      <w:r>
        <w:rPr>
          <w:rFonts w:hint="eastAsia" w:eastAsia="方正仿宋简体"/>
          <w:color w:val="000000"/>
          <w:sz w:val="30"/>
          <w:szCs w:val="30"/>
        </w:rPr>
        <w:t>二</w:t>
      </w:r>
      <w:r>
        <w:rPr>
          <w:rFonts w:eastAsia="方正仿宋简体"/>
          <w:color w:val="000000"/>
          <w:sz w:val="30"/>
          <w:szCs w:val="30"/>
        </w:rPr>
        <w:t>）到库</w:t>
      </w:r>
      <w:r>
        <w:rPr>
          <w:rFonts w:hint="eastAsia" w:eastAsia="方正仿宋简体"/>
          <w:color w:val="000000"/>
          <w:sz w:val="30"/>
          <w:szCs w:val="30"/>
        </w:rPr>
        <w:t>商品中</w:t>
      </w:r>
      <w:r>
        <w:rPr>
          <w:rFonts w:eastAsia="方正仿宋简体"/>
          <w:color w:val="000000"/>
          <w:sz w:val="30"/>
          <w:szCs w:val="30"/>
        </w:rPr>
        <w:t>，遇有</w:t>
      </w:r>
      <w:r>
        <w:rPr>
          <w:rFonts w:hint="eastAsia" w:eastAsia="方正仿宋简体"/>
          <w:color w:val="000000"/>
          <w:sz w:val="30"/>
          <w:szCs w:val="30"/>
        </w:rPr>
        <w:t>聚酯打包带</w:t>
      </w:r>
      <w:r>
        <w:rPr>
          <w:rFonts w:eastAsia="方正仿宋简体"/>
          <w:color w:val="000000"/>
          <w:sz w:val="30"/>
          <w:szCs w:val="30"/>
        </w:rPr>
        <w:t>断裂的捆件及散块商品，应当重新组合，用规定的</w:t>
      </w:r>
      <w:r>
        <w:rPr>
          <w:rFonts w:hint="eastAsia" w:eastAsia="方正仿宋简体"/>
          <w:color w:val="000000"/>
          <w:sz w:val="30"/>
          <w:szCs w:val="30"/>
        </w:rPr>
        <w:t>打包带</w:t>
      </w:r>
      <w:r>
        <w:rPr>
          <w:rFonts w:eastAsia="方正仿宋简体"/>
          <w:color w:val="000000"/>
          <w:sz w:val="30"/>
          <w:szCs w:val="30"/>
        </w:rPr>
        <w:t>捆扎紧固，方可用于交割。包装费用由货主承担。</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（三）铸造铝合金每锭重量为</w:t>
      </w:r>
      <w:r>
        <w:rPr>
          <w:rFonts w:eastAsia="方正仿宋简体"/>
          <w:color w:val="000000"/>
          <w:sz w:val="30"/>
          <w:szCs w:val="30"/>
        </w:rPr>
        <w:t>6KG</w:t>
      </w:r>
      <w:r>
        <w:rPr>
          <w:rFonts w:hint="eastAsia" w:eastAsia="方正仿宋简体"/>
          <w:color w:val="000000"/>
          <w:sz w:val="30"/>
          <w:szCs w:val="30"/>
        </w:rPr>
        <w:t>±</w:t>
      </w:r>
      <w:r>
        <w:rPr>
          <w:rFonts w:eastAsia="方正仿宋简体"/>
          <w:color w:val="000000"/>
          <w:sz w:val="30"/>
          <w:szCs w:val="30"/>
        </w:rPr>
        <w:t>1KG</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hint="eastAsia" w:eastAsia="方正仿宋简体"/>
          <w:color w:val="000000"/>
          <w:sz w:val="30"/>
          <w:szCs w:val="30"/>
        </w:rPr>
        <w:t>（四）到库商品应覆盖塑料薄膜。交割仓库应对</w:t>
      </w:r>
      <w:r>
        <w:rPr>
          <w:rFonts w:eastAsia="方正仿宋简体"/>
          <w:color w:val="000000"/>
          <w:sz w:val="30"/>
          <w:szCs w:val="30"/>
        </w:rPr>
        <w:t>到库</w:t>
      </w:r>
      <w:r>
        <w:rPr>
          <w:rFonts w:hint="eastAsia" w:eastAsia="方正仿宋简体"/>
          <w:color w:val="000000"/>
          <w:sz w:val="30"/>
          <w:szCs w:val="30"/>
        </w:rPr>
        <w:t>商品进行外观检查，铸锭表面应整洁，不应有霉斑及外来夹杂物，允许有轻微的夹渣、修整痕迹、因浇铸收缩而引起的轻微裂纹存在，如发现有明显雨渍、污染等影响使用的情况，不得用于交割。</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十七</w:t>
      </w:r>
      <w:r>
        <w:rPr>
          <w:rFonts w:eastAsia="方正仿宋简体"/>
          <w:b/>
          <w:color w:val="000000"/>
          <w:sz w:val="30"/>
          <w:szCs w:val="30"/>
        </w:rPr>
        <w:t>条</w:t>
      </w:r>
      <w:r>
        <w:rPr>
          <w:rFonts w:hint="eastAsia" w:eastAsia="方正仿宋简体"/>
          <w:color w:val="000000"/>
          <w:sz w:val="30"/>
          <w:szCs w:val="30"/>
        </w:rPr>
        <w:t xml:space="preserve"> </w:t>
      </w:r>
      <w:r>
        <w:rPr>
          <w:rFonts w:eastAsia="方正仿宋简体"/>
          <w:color w:val="000000"/>
          <w:sz w:val="30"/>
          <w:szCs w:val="30"/>
        </w:rPr>
        <w:t>交割商品必备单证</w:t>
      </w:r>
    </w:p>
    <w:p>
      <w:pPr>
        <w:spacing w:line="560" w:lineRule="exact"/>
        <w:ind w:firstLine="600" w:firstLineChars="200"/>
        <w:rPr>
          <w:rFonts w:eastAsia="方正仿宋简体"/>
          <w:color w:val="000000"/>
          <w:sz w:val="30"/>
          <w:szCs w:val="30"/>
        </w:rPr>
      </w:pPr>
      <w:r>
        <w:rPr>
          <w:rFonts w:eastAsia="方正仿宋简体"/>
          <w:color w:val="000000"/>
          <w:sz w:val="30"/>
          <w:szCs w:val="30"/>
        </w:rPr>
        <w:t>（一）国产商品：应当提供注册生产企业出具的产品质量证明书。</w:t>
      </w:r>
    </w:p>
    <w:p>
      <w:pPr>
        <w:spacing w:line="560" w:lineRule="exact"/>
        <w:ind w:firstLine="600" w:firstLineChars="200"/>
        <w:rPr>
          <w:rFonts w:eastAsia="方正仿宋简体"/>
          <w:color w:val="000000"/>
          <w:sz w:val="30"/>
          <w:szCs w:val="30"/>
        </w:rPr>
      </w:pPr>
      <w:r>
        <w:rPr>
          <w:rFonts w:eastAsia="方正仿宋简体"/>
          <w:color w:val="000000"/>
          <w:sz w:val="30"/>
          <w:szCs w:val="30"/>
        </w:rPr>
        <w:t>（二）进口商品：应当提供产品质量证明书、产地证明书、</w:t>
      </w:r>
      <w:r>
        <w:rPr>
          <w:rFonts w:hint="eastAsia" w:eastAsia="方正仿宋简体"/>
          <w:color w:val="000000"/>
          <w:sz w:val="30"/>
          <w:szCs w:val="30"/>
        </w:rPr>
        <w:t>交易所指定检验机构出具的质检证书（夹渣量</w:t>
      </w:r>
      <w:r>
        <w:rPr>
          <w:rFonts w:eastAsia="方正仿宋简体"/>
          <w:color w:val="000000"/>
          <w:sz w:val="30"/>
          <w:szCs w:val="30"/>
        </w:rPr>
        <w:t>除外</w:t>
      </w:r>
      <w:r>
        <w:rPr>
          <w:rFonts w:hint="eastAsia" w:eastAsia="方正仿宋简体"/>
          <w:color w:val="000000"/>
          <w:sz w:val="30"/>
          <w:szCs w:val="30"/>
        </w:rPr>
        <w:t>）</w:t>
      </w:r>
      <w:r>
        <w:rPr>
          <w:rFonts w:eastAsia="方正仿宋简体"/>
          <w:color w:val="000000"/>
          <w:sz w:val="30"/>
          <w:szCs w:val="30"/>
        </w:rPr>
        <w:t>、</w:t>
      </w:r>
      <w:r>
        <w:rPr>
          <w:rFonts w:hint="eastAsia" w:eastAsia="方正仿宋简体"/>
          <w:color w:val="000000"/>
          <w:sz w:val="30"/>
          <w:szCs w:val="30"/>
        </w:rPr>
        <w:t>进口货物报关单、海关代征增值税专用缴款书，</w:t>
      </w:r>
      <w:r>
        <w:rPr>
          <w:rFonts w:eastAsia="方正仿宋简体"/>
          <w:color w:val="000000"/>
          <w:sz w:val="30"/>
          <w:szCs w:val="30"/>
        </w:rPr>
        <w:t>经本交易所审定合格为有效。</w:t>
      </w:r>
    </w:p>
    <w:p>
      <w:pPr>
        <w:spacing w:line="560" w:lineRule="exact"/>
        <w:ind w:firstLine="600" w:firstLineChars="200"/>
        <w:rPr>
          <w:rFonts w:eastAsia="方正仿宋简体"/>
          <w:color w:val="000000"/>
          <w:sz w:val="30"/>
          <w:szCs w:val="30"/>
        </w:rPr>
      </w:pPr>
      <w:r>
        <w:rPr>
          <w:rFonts w:eastAsia="方正仿宋简体"/>
          <w:color w:val="000000"/>
          <w:sz w:val="30"/>
          <w:szCs w:val="30"/>
        </w:rPr>
        <w:t>国家税收、商检等政策调整的，应当遵守其规定，相关进口商品的单证要求由交易所另行发布。</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十八条</w:t>
      </w:r>
      <w:r>
        <w:rPr>
          <w:rFonts w:eastAsia="方正仿宋简体"/>
          <w:color w:val="000000"/>
          <w:sz w:val="30"/>
          <w:szCs w:val="30"/>
        </w:rPr>
        <w:t xml:space="preserve"> </w:t>
      </w:r>
      <w:r>
        <w:rPr>
          <w:rFonts w:hint="eastAsia" w:eastAsia="方正仿宋简体"/>
          <w:color w:val="000000"/>
          <w:sz w:val="30"/>
          <w:szCs w:val="30"/>
        </w:rPr>
        <w:t>溢短和磅差：铸造铝合金交割以净重进行计量。每张标准仓单所列铸造铝合金锭的重量为</w:t>
      </w:r>
      <w:r>
        <w:rPr>
          <w:rFonts w:eastAsia="方正仿宋简体"/>
          <w:color w:val="000000"/>
          <w:sz w:val="30"/>
          <w:szCs w:val="30"/>
        </w:rPr>
        <w:t>30</w:t>
      </w:r>
      <w:r>
        <w:rPr>
          <w:rFonts w:hint="eastAsia" w:eastAsia="方正仿宋简体"/>
          <w:color w:val="000000"/>
          <w:sz w:val="30"/>
          <w:szCs w:val="30"/>
        </w:rPr>
        <w:t>吨，溢短不超过</w:t>
      </w:r>
      <w:r>
        <w:rPr>
          <w:rFonts w:hint="eastAsia" w:ascii="方正仿宋简体" w:eastAsia="方正仿宋简体"/>
          <w:color w:val="000000"/>
          <w:sz w:val="30"/>
          <w:szCs w:val="30"/>
        </w:rPr>
        <w:t>±</w:t>
      </w:r>
      <w:r>
        <w:rPr>
          <w:rFonts w:eastAsia="方正仿宋简体"/>
          <w:color w:val="000000"/>
          <w:sz w:val="30"/>
          <w:szCs w:val="30"/>
        </w:rPr>
        <w:t>3%</w:t>
      </w:r>
      <w:r>
        <w:rPr>
          <w:rFonts w:hint="eastAsia" w:eastAsia="方正仿宋简体"/>
          <w:color w:val="000000"/>
          <w:sz w:val="30"/>
          <w:szCs w:val="30"/>
        </w:rPr>
        <w:t>，磅差不超过</w:t>
      </w:r>
      <w:r>
        <w:rPr>
          <w:rFonts w:hint="eastAsia" w:ascii="方正仿宋简体" w:hAnsi="仿宋" w:eastAsia="方正仿宋简体"/>
          <w:color w:val="000000"/>
          <w:sz w:val="30"/>
          <w:szCs w:val="30"/>
        </w:rPr>
        <w:t>±</w:t>
      </w:r>
      <w:r>
        <w:rPr>
          <w:rFonts w:eastAsia="方正仿宋简体"/>
          <w:color w:val="000000"/>
          <w:sz w:val="30"/>
          <w:szCs w:val="30"/>
        </w:rPr>
        <w:t>0.1%</w:t>
      </w:r>
      <w:r>
        <w:rPr>
          <w:rFonts w:hint="eastAsia" w:eastAsia="方正仿宋简体"/>
          <w:color w:val="000000"/>
          <w:sz w:val="30"/>
          <w:szCs w:val="30"/>
        </w:rPr>
        <w:t>。</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w:t>
      </w:r>
      <w:r>
        <w:rPr>
          <w:rFonts w:hint="eastAsia" w:eastAsia="方正仿宋简体"/>
          <w:b/>
          <w:color w:val="000000"/>
          <w:sz w:val="30"/>
          <w:szCs w:val="30"/>
        </w:rPr>
        <w:t>十九</w:t>
      </w:r>
      <w:r>
        <w:rPr>
          <w:rFonts w:eastAsia="方正仿宋简体"/>
          <w:b/>
          <w:color w:val="000000"/>
          <w:sz w:val="30"/>
          <w:szCs w:val="30"/>
        </w:rPr>
        <w:t>条</w:t>
      </w:r>
      <w:r>
        <w:rPr>
          <w:rFonts w:hint="eastAsia" w:eastAsia="方正仿宋简体"/>
          <w:color w:val="000000"/>
          <w:sz w:val="30"/>
          <w:szCs w:val="30"/>
        </w:rPr>
        <w:t xml:space="preserve"> 铸造</w:t>
      </w:r>
      <w:r>
        <w:rPr>
          <w:rFonts w:eastAsia="方正仿宋简体"/>
          <w:color w:val="000000"/>
          <w:sz w:val="30"/>
          <w:szCs w:val="30"/>
        </w:rPr>
        <w:t>铝合金期货合约的</w:t>
      </w:r>
      <w:r>
        <w:rPr>
          <w:rFonts w:hint="eastAsia" w:eastAsia="方正仿宋简体"/>
          <w:color w:val="000000"/>
          <w:sz w:val="30"/>
          <w:szCs w:val="30"/>
        </w:rPr>
        <w:t>交割</w:t>
      </w:r>
      <w:r>
        <w:rPr>
          <w:rFonts w:eastAsia="方正仿宋简体"/>
          <w:color w:val="000000"/>
          <w:sz w:val="30"/>
          <w:szCs w:val="30"/>
        </w:rPr>
        <w:t>单位</w:t>
      </w:r>
      <w:r>
        <w:rPr>
          <w:rFonts w:hint="eastAsia" w:eastAsia="方正仿宋简体"/>
          <w:color w:val="000000"/>
          <w:sz w:val="30"/>
          <w:szCs w:val="30"/>
        </w:rPr>
        <w:t>为</w:t>
      </w:r>
      <w:r>
        <w:rPr>
          <w:rFonts w:eastAsia="方正仿宋简体"/>
          <w:color w:val="000000"/>
          <w:sz w:val="30"/>
          <w:szCs w:val="30"/>
        </w:rPr>
        <w:t>30</w:t>
      </w:r>
      <w:r>
        <w:rPr>
          <w:rFonts w:hint="eastAsia" w:eastAsia="方正仿宋简体"/>
          <w:color w:val="000000"/>
          <w:sz w:val="30"/>
          <w:szCs w:val="30"/>
        </w:rPr>
        <w:t>吨。</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第二十条 </w:t>
      </w:r>
      <w:r>
        <w:rPr>
          <w:rFonts w:hint="eastAsia" w:eastAsia="方正仿宋简体"/>
          <w:color w:val="000000"/>
          <w:sz w:val="30"/>
          <w:szCs w:val="30"/>
        </w:rPr>
        <w:t>铸造铝合金</w:t>
      </w:r>
      <w:r>
        <w:rPr>
          <w:rFonts w:eastAsia="方正仿宋简体"/>
          <w:color w:val="000000"/>
          <w:sz w:val="30"/>
          <w:szCs w:val="30"/>
        </w:rPr>
        <w:t>期货合约的交割日期为最后交易日后连续二个工作日。</w:t>
      </w:r>
    </w:p>
    <w:p>
      <w:pPr>
        <w:spacing w:line="560" w:lineRule="exact"/>
        <w:ind w:firstLine="602" w:firstLineChars="200"/>
        <w:rPr>
          <w:rFonts w:eastAsia="方正仿宋简体"/>
          <w:color w:val="000000"/>
          <w:sz w:val="30"/>
          <w:szCs w:val="30"/>
        </w:rPr>
      </w:pPr>
      <w:r>
        <w:rPr>
          <w:rFonts w:eastAsia="方正仿宋简体"/>
          <w:b/>
          <w:sz w:val="30"/>
          <w:szCs w:val="30"/>
        </w:rPr>
        <w:t>第二十</w:t>
      </w:r>
      <w:r>
        <w:rPr>
          <w:rFonts w:hint="eastAsia" w:eastAsia="方正仿宋简体"/>
          <w:b/>
          <w:sz w:val="30"/>
          <w:szCs w:val="30"/>
        </w:rPr>
        <w:t>一</w:t>
      </w:r>
      <w:r>
        <w:rPr>
          <w:rFonts w:eastAsia="方正仿宋简体"/>
          <w:b/>
          <w:sz w:val="30"/>
          <w:szCs w:val="30"/>
        </w:rPr>
        <w:t xml:space="preserve">条 </w:t>
      </w:r>
      <w:r>
        <w:rPr>
          <w:rFonts w:hint="eastAsia" w:eastAsia="方正仿宋简体"/>
          <w:sz w:val="30"/>
          <w:szCs w:val="30"/>
        </w:rPr>
        <w:t>铸造铝合金</w:t>
      </w:r>
      <w:r>
        <w:rPr>
          <w:rFonts w:eastAsia="方正仿宋简体"/>
          <w:sz w:val="30"/>
          <w:szCs w:val="30"/>
        </w:rPr>
        <w:t>期货合约交割结算的基准价为该期货合约最后交易日的结算价。</w:t>
      </w:r>
    </w:p>
    <w:p>
      <w:pPr>
        <w:spacing w:line="560" w:lineRule="exact"/>
        <w:ind w:firstLine="602" w:firstLineChars="200"/>
        <w:rPr>
          <w:rFonts w:eastAsia="方正仿宋简体"/>
          <w:color w:val="000000"/>
          <w:sz w:val="30"/>
          <w:szCs w:val="30"/>
        </w:rPr>
      </w:pPr>
      <w:r>
        <w:rPr>
          <w:rFonts w:hint="eastAsia" w:eastAsia="方正仿宋简体"/>
          <w:b/>
          <w:color w:val="000000"/>
          <w:sz w:val="30"/>
          <w:szCs w:val="30"/>
        </w:rPr>
        <w:t>第二十二条</w:t>
      </w:r>
      <w:r>
        <w:rPr>
          <w:rFonts w:eastAsia="方正仿宋简体"/>
          <w:color w:val="000000"/>
          <w:sz w:val="30"/>
          <w:szCs w:val="30"/>
        </w:rPr>
        <w:t xml:space="preserve"> </w:t>
      </w:r>
      <w:r>
        <w:rPr>
          <w:rFonts w:hint="eastAsia" w:eastAsia="方正仿宋简体"/>
          <w:color w:val="000000"/>
          <w:sz w:val="30"/>
          <w:szCs w:val="30"/>
        </w:rPr>
        <w:t>交割地点：交易所交割仓库，由交易所另行公告。用于铸造铝合金期货交割的铸造铝合金锭应当存放在</w:t>
      </w:r>
      <w:r>
        <w:rPr>
          <w:rFonts w:eastAsia="方正仿宋简体"/>
          <w:color w:val="000000"/>
          <w:sz w:val="30"/>
          <w:szCs w:val="30"/>
        </w:rPr>
        <w:t>室内库房。</w:t>
      </w:r>
    </w:p>
    <w:p>
      <w:pPr>
        <w:spacing w:line="560" w:lineRule="exact"/>
        <w:ind w:firstLine="602" w:firstLineChars="200"/>
        <w:rPr>
          <w:rFonts w:eastAsia="方正仿宋简体"/>
          <w:sz w:val="30"/>
          <w:szCs w:val="30"/>
        </w:rPr>
      </w:pPr>
      <w:r>
        <w:rPr>
          <w:rFonts w:hint="eastAsia" w:eastAsia="方正仿宋简体"/>
          <w:b/>
          <w:sz w:val="30"/>
          <w:szCs w:val="30"/>
        </w:rPr>
        <w:t>第二十三条</w:t>
      </w:r>
      <w:r>
        <w:rPr>
          <w:rFonts w:hint="eastAsia" w:eastAsia="方正仿宋简体"/>
          <w:b/>
          <w:color w:val="C00000"/>
          <w:sz w:val="30"/>
          <w:szCs w:val="30"/>
        </w:rPr>
        <w:t xml:space="preserve"> </w:t>
      </w:r>
      <w:r>
        <w:rPr>
          <w:rFonts w:hint="eastAsia" w:eastAsia="方正仿宋简体"/>
          <w:sz w:val="30"/>
          <w:szCs w:val="30"/>
        </w:rPr>
        <w:t>实物交割完成后，若买方对交割商品的质量、数量有异议的（有异议的铸造铝合金应当在交割仓库内），应当在实物交割月份的下一月份的15日之前（含当日，遇法定假日时顺延至假日后的第一个工作日），向交易所提出书面申请，并应当同时提供交易所指定检验机构出具的质量鉴定结论。用于交割的铸造铝合金每批商品的有效期应当涵盖本次交割的最后交割日。即使交割铸造铝合金每批商品的有效期截止时间早于质量异议期的提交截止时间，如果该批商品的质量鉴定结论不合格，卖方对该批交割商品的实际质量仍需承担全部责任。</w:t>
      </w:r>
    </w:p>
    <w:p>
      <w:pPr>
        <w:spacing w:line="560" w:lineRule="exact"/>
        <w:ind w:firstLine="602" w:firstLineChars="200"/>
        <w:rPr>
          <w:rFonts w:eastAsia="方正仿宋简体"/>
          <w:color w:val="000000"/>
          <w:kern w:val="0"/>
          <w:sz w:val="30"/>
          <w:szCs w:val="30"/>
        </w:rPr>
      </w:pPr>
      <w:r>
        <w:rPr>
          <w:rFonts w:hint="eastAsia" w:eastAsia="方正仿宋简体"/>
          <w:b/>
          <w:sz w:val="30"/>
          <w:szCs w:val="30"/>
        </w:rPr>
        <w:t xml:space="preserve">第二十四条 </w:t>
      </w:r>
      <w:r>
        <w:rPr>
          <w:rFonts w:hint="eastAsia" w:eastAsia="方正仿宋简体"/>
          <w:color w:val="000000"/>
          <w:kern w:val="0"/>
          <w:sz w:val="30"/>
          <w:szCs w:val="30"/>
        </w:rPr>
        <w:t>期转现使用标准仓单并通过交易所结算发生铸造铝合金交割实物质量纠纷的，买方应当在货款和标准仓单交换日后的</w:t>
      </w:r>
      <w:r>
        <w:rPr>
          <w:rFonts w:eastAsia="方正仿宋简体"/>
          <w:color w:val="000000"/>
          <w:kern w:val="0"/>
          <w:sz w:val="30"/>
          <w:szCs w:val="30"/>
        </w:rPr>
        <w:t>25</w:t>
      </w:r>
      <w:r>
        <w:rPr>
          <w:rFonts w:hint="eastAsia" w:eastAsia="方正仿宋简体"/>
          <w:color w:val="000000"/>
          <w:kern w:val="0"/>
          <w:sz w:val="30"/>
          <w:szCs w:val="30"/>
        </w:rPr>
        <w:t>天内提出质量异议申请，并应当同时提供交易所指定检验机构出具的质量鉴定结论。</w:t>
      </w:r>
    </w:p>
    <w:p>
      <w:pPr>
        <w:spacing w:line="560" w:lineRule="exact"/>
        <w:jc w:val="center"/>
        <w:rPr>
          <w:rFonts w:eastAsia="方正仿宋简体"/>
          <w:b/>
          <w:sz w:val="30"/>
          <w:szCs w:val="30"/>
        </w:rPr>
      </w:pPr>
      <w:r>
        <w:rPr>
          <w:rFonts w:hint="eastAsia" w:eastAsia="方正仿宋简体"/>
          <w:b/>
          <w:color w:val="000000"/>
          <w:kern w:val="0"/>
          <w:sz w:val="30"/>
          <w:szCs w:val="30"/>
        </w:rPr>
        <w:t>第二节 发票流程</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第二十五条 </w:t>
      </w:r>
      <w:r>
        <w:rPr>
          <w:rFonts w:hint="eastAsia" w:eastAsia="方正仿宋简体"/>
          <w:sz w:val="30"/>
          <w:szCs w:val="30"/>
        </w:rPr>
        <w:t>铸造铝合金增值税专用发票由卖方客户、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开具。买卖双方客户有关增值税专用发票开具所需的具体信息、增值税专用发票等应当由会员进行核实、传递及确认。双方会员负责调解、处理相关纠纷。</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第二十六条 </w:t>
      </w:r>
      <w:r>
        <w:rPr>
          <w:rFonts w:hint="eastAsia" w:eastAsia="方正仿宋简体"/>
          <w:sz w:val="30"/>
          <w:szCs w:val="30"/>
        </w:rPr>
        <w:t>第二交割日内，买方会员应当向卖方会员提供有关增值税专用发票开具所需的具体信息。卖方会员最迟应当在最后交易日后第七个工作日，将增值税专用发票交至买方会员。</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第二十七条 </w:t>
      </w:r>
      <w:r>
        <w:rPr>
          <w:rFonts w:hint="eastAsia" w:eastAsia="方正仿宋简体"/>
          <w:sz w:val="30"/>
          <w:szCs w:val="30"/>
        </w:rPr>
        <w:t>第二交割日14：00之前，卖方会员未办妥增值税专用发票事宜的，交易所当日对相应交割持仓额度以该合约交割结算价收取不低于15%的保证金，保证金在买卖双方办妥增值税专用发票事宜并经双方会员申请、确认后清退。</w:t>
      </w:r>
    </w:p>
    <w:p>
      <w:pPr>
        <w:spacing w:line="560" w:lineRule="exact"/>
        <w:ind w:firstLine="600" w:firstLineChars="200"/>
        <w:rPr>
          <w:rFonts w:eastAsia="方正仿宋简体"/>
          <w:color w:val="FF0000"/>
          <w:sz w:val="30"/>
          <w:szCs w:val="30"/>
        </w:rPr>
      </w:pPr>
      <w:r>
        <w:rPr>
          <w:rFonts w:hint="eastAsia" w:eastAsia="方正仿宋简体"/>
          <w:sz w:val="30"/>
          <w:szCs w:val="30"/>
        </w:rPr>
        <w:t>卖方会员迟交增值税专用发票3至10天的，每天处以货款金额0.5</w:t>
      </w:r>
      <w:r>
        <w:rPr>
          <w:rFonts w:eastAsia="方正仿宋简体"/>
          <w:sz w:val="30"/>
          <w:szCs w:val="30"/>
        </w:rPr>
        <w:t>‰</w:t>
      </w:r>
      <w:r>
        <w:rPr>
          <w:rFonts w:hint="eastAsia" w:eastAsia="方正仿宋简体"/>
          <w:sz w:val="30"/>
          <w:szCs w:val="30"/>
        </w:rPr>
        <w:t>的滞纳金；迟交11至30天，每天处以货款金额1</w:t>
      </w:r>
      <w:r>
        <w:rPr>
          <w:rFonts w:eastAsia="方正仿宋简体"/>
          <w:sz w:val="30"/>
          <w:szCs w:val="30"/>
        </w:rPr>
        <w:t>‰</w:t>
      </w:r>
      <w:r>
        <w:rPr>
          <w:rFonts w:hint="eastAsia" w:eastAsia="方正仿宋简体"/>
          <w:sz w:val="30"/>
          <w:szCs w:val="30"/>
        </w:rPr>
        <w:t>的滞纳金；超过30天未交增值税专用发票的，视作不交增值税专用发票，由此产生的违约金按国家税收政策规定的增值税税额计算。滞纳金、违约金在买卖双方确认、申请后，由交易所向卖方会员收取，划转给买方会员。买卖双方另有约定的，遵其约定。</w:t>
      </w:r>
    </w:p>
    <w:p>
      <w:pPr>
        <w:spacing w:line="560" w:lineRule="exact"/>
        <w:ind w:firstLine="600" w:firstLineChars="200"/>
        <w:rPr>
          <w:rFonts w:eastAsia="方正仿宋简体"/>
          <w:sz w:val="30"/>
          <w:szCs w:val="30"/>
        </w:rPr>
      </w:pPr>
      <w:r>
        <w:rPr>
          <w:rFonts w:hint="eastAsia" w:eastAsia="方正仿宋简体"/>
          <w:sz w:val="30"/>
          <w:szCs w:val="30"/>
        </w:rPr>
        <w:t>卖方会员向卖方客户收取保证金。会员与客户应当就保证金、滞纳金、违约金的收取、支付等事项做好安排。卖方会员先行支付滞纳金、违约金的，有权向卖方客户追偿。</w:t>
      </w:r>
    </w:p>
    <w:p>
      <w:pPr>
        <w:spacing w:line="560" w:lineRule="exact"/>
        <w:ind w:firstLine="602" w:firstLineChars="200"/>
        <w:rPr>
          <w:rFonts w:eastAsia="方正仿宋简体"/>
          <w:sz w:val="30"/>
          <w:szCs w:val="30"/>
        </w:rPr>
      </w:pPr>
      <w:r>
        <w:rPr>
          <w:rFonts w:hint="eastAsia" w:eastAsia="方正仿宋简体"/>
          <w:b/>
          <w:sz w:val="30"/>
          <w:szCs w:val="30"/>
        </w:rPr>
        <w:t xml:space="preserve">第二十八条 </w:t>
      </w:r>
      <w:r>
        <w:rPr>
          <w:rFonts w:hint="eastAsia" w:eastAsia="方正仿宋简体"/>
          <w:sz w:val="30"/>
          <w:szCs w:val="30"/>
        </w:rPr>
        <w:t>买方会员应当在收到增值税专用发票之日的下一个工作日内，对增值税专用发票进行确认，并将结果告知卖方会员。</w:t>
      </w:r>
    </w:p>
    <w:p>
      <w:pPr>
        <w:spacing w:line="560" w:lineRule="exact"/>
        <w:ind w:firstLine="600" w:firstLineChars="200"/>
        <w:rPr>
          <w:rFonts w:eastAsia="方正仿宋简体"/>
          <w:b/>
          <w:sz w:val="30"/>
          <w:szCs w:val="30"/>
        </w:rPr>
      </w:pPr>
      <w:r>
        <w:rPr>
          <w:rFonts w:hint="eastAsia" w:eastAsia="方正仿宋简体"/>
          <w:sz w:val="30"/>
          <w:szCs w:val="30"/>
        </w:rPr>
        <w:t>因买方会员、买方客户提供资料有误，致使发票作废的，责任自负；买方会员提供资料延迟的，卖方会员提供发票的时间可以顺延。</w:t>
      </w:r>
    </w:p>
    <w:p>
      <w:pPr>
        <w:spacing w:line="560" w:lineRule="exact"/>
        <w:jc w:val="left"/>
        <w:rPr>
          <w:rFonts w:eastAsia="方正仿宋简体"/>
          <w:sz w:val="30"/>
          <w:szCs w:val="30"/>
        </w:rPr>
      </w:pPr>
      <w:r>
        <w:rPr>
          <w:rFonts w:eastAsia="方正仿宋简体"/>
          <w:b/>
          <w:sz w:val="30"/>
          <w:szCs w:val="30"/>
        </w:rPr>
        <w:t xml:space="preserve">    </w:t>
      </w:r>
      <w:r>
        <w:rPr>
          <w:rFonts w:hint="eastAsia" w:eastAsia="方正仿宋简体"/>
          <w:b/>
          <w:sz w:val="30"/>
          <w:szCs w:val="30"/>
        </w:rPr>
        <w:t>第二十九条</w:t>
      </w:r>
      <w:r>
        <w:rPr>
          <w:rFonts w:hint="eastAsia" w:eastAsia="方正仿宋简体"/>
          <w:sz w:val="30"/>
          <w:szCs w:val="30"/>
        </w:rPr>
        <w:t xml:space="preserve"> 铸造铝合金期转现使用标准仓单并通过交易所结算的，卖方客户、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增值税专用发票。买方会员应当在办理期转现手续后的一个工作日内，向卖方会员提供有关增值税专用发票开具所需的具体信息。卖方会员最迟应当在办理期转现手续后的第七个工作日，将增值税专用发票交至买方会</w:t>
      </w:r>
      <w:r>
        <w:rPr>
          <w:rFonts w:eastAsia="方正仿宋简体"/>
          <w:sz w:val="30"/>
          <w:szCs w:val="30"/>
        </w:rPr>
        <w:t>员。</w:t>
      </w:r>
    </w:p>
    <w:p>
      <w:pPr>
        <w:spacing w:line="560" w:lineRule="exact"/>
        <w:jc w:val="left"/>
        <w:rPr>
          <w:rFonts w:eastAsia="方正仿宋简体"/>
          <w:color w:val="000000"/>
          <w:kern w:val="0"/>
          <w:sz w:val="30"/>
          <w:szCs w:val="30"/>
        </w:rPr>
      </w:pPr>
      <w:r>
        <w:rPr>
          <w:rFonts w:eastAsia="方正仿宋简体"/>
          <w:sz w:val="30"/>
          <w:szCs w:val="30"/>
        </w:rPr>
        <w:t xml:space="preserve">    卖方会员在办理期转现手续后的下一个工作日14:00之前未办妥增值税专用发票事宜的，交易所当日对相应交割</w:t>
      </w:r>
      <w:r>
        <w:rPr>
          <w:rFonts w:hint="eastAsia" w:eastAsia="方正仿宋简体"/>
          <w:sz w:val="30"/>
          <w:szCs w:val="30"/>
        </w:rPr>
        <w:t>持仓额度</w:t>
      </w:r>
      <w:r>
        <w:rPr>
          <w:rFonts w:eastAsia="方正仿宋简体"/>
          <w:sz w:val="30"/>
          <w:szCs w:val="30"/>
        </w:rPr>
        <w:t>以该合约期转现的交割结算价收取不低于15%</w:t>
      </w:r>
      <w:r>
        <w:rPr>
          <w:rFonts w:hint="eastAsia" w:eastAsia="方正仿宋简体"/>
          <w:sz w:val="30"/>
          <w:szCs w:val="30"/>
        </w:rPr>
        <w:t>的保证金，保证金在买卖双方办妥增值税专用发票事宜并经双方会员申请、确认后清退。</w:t>
      </w:r>
    </w:p>
    <w:p>
      <w:pPr>
        <w:adjustRightInd w:val="0"/>
        <w:spacing w:line="560" w:lineRule="exact"/>
        <w:ind w:firstLine="601"/>
        <w:rPr>
          <w:rFonts w:eastAsia="方正仿宋简体"/>
          <w:sz w:val="30"/>
          <w:szCs w:val="30"/>
        </w:rPr>
      </w:pPr>
      <w:r>
        <w:rPr>
          <w:rFonts w:hint="eastAsia" w:eastAsia="方正仿宋简体"/>
          <w:sz w:val="30"/>
          <w:szCs w:val="30"/>
        </w:rPr>
        <w:t>纠纷调解、滞纳金以及违约金的处理等其他发票相关未尽事宜参照本细则第二十五条至第二十八条的有关规定执行。</w:t>
      </w:r>
    </w:p>
    <w:p>
      <w:pPr>
        <w:spacing w:before="156" w:beforeLines="50"/>
        <w:jc w:val="center"/>
        <w:rPr>
          <w:rFonts w:ascii="黑体" w:hAnsi="黑体" w:eastAsia="黑体"/>
          <w:sz w:val="30"/>
          <w:szCs w:val="30"/>
        </w:rPr>
      </w:pPr>
      <w:r>
        <w:rPr>
          <w:rFonts w:hint="eastAsia" w:ascii="黑体" w:hAnsi="黑体" w:eastAsia="黑体"/>
          <w:sz w:val="30"/>
          <w:szCs w:val="30"/>
        </w:rPr>
        <w:t>第四章 风险管理</w:t>
      </w:r>
    </w:p>
    <w:p>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铸造铝合金期货合约的最低交易保证金为合约价值的5%。</w:t>
      </w:r>
    </w:p>
    <w:p>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铸造铝合金期货合约上市运行不同阶段的交易保证金收取标准为：</w:t>
      </w:r>
    </w:p>
    <w:tbl>
      <w:tblPr>
        <w:tblStyle w:val="4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4495" w:type="dxa"/>
            <w:shd w:val="clear" w:color="auto" w:fill="auto"/>
            <w:vAlign w:val="center"/>
          </w:tcPr>
          <w:p>
            <w:pPr>
              <w:spacing w:line="560" w:lineRule="exact"/>
              <w:jc w:val="center"/>
              <w:rPr>
                <w:rFonts w:ascii="方正仿宋简体" w:eastAsia="方正仿宋简体"/>
                <w:b/>
                <w:bCs/>
                <w:color w:val="000000"/>
                <w:sz w:val="28"/>
              </w:rPr>
            </w:pPr>
            <w:r>
              <w:rPr>
                <w:rFonts w:hint="eastAsia" w:ascii="方正仿宋简体" w:eastAsia="方正仿宋简体"/>
                <w:b/>
                <w:bCs/>
                <w:color w:val="000000"/>
                <w:sz w:val="28"/>
              </w:rPr>
              <w:t>交易时间段</w:t>
            </w:r>
          </w:p>
        </w:tc>
        <w:tc>
          <w:tcPr>
            <w:tcW w:w="3734" w:type="dxa"/>
            <w:shd w:val="clear" w:color="auto" w:fill="auto"/>
            <w:vAlign w:val="center"/>
          </w:tcPr>
          <w:p>
            <w:pPr>
              <w:spacing w:line="560" w:lineRule="exact"/>
              <w:jc w:val="center"/>
              <w:rPr>
                <w:rFonts w:ascii="方正仿宋简体" w:eastAsia="方正仿宋简体"/>
                <w:b/>
                <w:bCs/>
                <w:color w:val="000000"/>
                <w:sz w:val="28"/>
              </w:rPr>
            </w:pPr>
            <w:r>
              <w:rPr>
                <w:rFonts w:hint="eastAsia" w:ascii="方正仿宋简体" w:eastAsia="方正仿宋简体"/>
                <w:b/>
                <w:bCs/>
                <w:color w:val="000000"/>
                <w:sz w:val="28"/>
              </w:rPr>
              <w:t>铸造铝合金交易保证金比例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合约挂牌之日起</w:t>
            </w:r>
          </w:p>
        </w:tc>
        <w:tc>
          <w:tcPr>
            <w:tcW w:w="3734" w:type="dxa"/>
            <w:tcBorders>
              <w:bottom w:val="single" w:color="auto" w:sz="4" w:space="0"/>
            </w:tcBorders>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交割月前第一月的第一个交易日起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交割月份第一个交易日起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shd w:val="clear" w:color="auto" w:fill="auto"/>
            <w:vAlign w:val="center"/>
          </w:tcPr>
          <w:p>
            <w:pPr>
              <w:spacing w:line="560" w:lineRule="exact"/>
              <w:jc w:val="center"/>
              <w:rPr>
                <w:rFonts w:ascii="方正仿宋简体" w:eastAsia="方正仿宋简体"/>
                <w:bCs/>
                <w:color w:val="000000"/>
                <w:sz w:val="28"/>
              </w:rPr>
            </w:pPr>
            <w:r>
              <w:rPr>
                <w:rFonts w:hint="eastAsia" w:ascii="方正仿宋简体" w:eastAsia="方正仿宋简体"/>
                <w:bCs/>
                <w:color w:val="000000"/>
                <w:sz w:val="28"/>
              </w:rPr>
              <w:t>最后交易日前二个交易日起</w:t>
            </w:r>
          </w:p>
        </w:tc>
        <w:tc>
          <w:tcPr>
            <w:tcW w:w="3734" w:type="dxa"/>
            <w:shd w:val="clear" w:color="auto" w:fill="auto"/>
            <w:vAlign w:val="center"/>
          </w:tcPr>
          <w:p>
            <w:pPr>
              <w:spacing w:line="560" w:lineRule="exact"/>
              <w:jc w:val="center"/>
              <w:rPr>
                <w:rFonts w:eastAsia="方正仿宋简体"/>
                <w:bCs/>
                <w:color w:val="000000"/>
                <w:sz w:val="28"/>
              </w:rPr>
            </w:pPr>
            <w:r>
              <w:rPr>
                <w:rFonts w:eastAsia="方正仿宋简体"/>
                <w:bCs/>
                <w:color w:val="000000"/>
                <w:sz w:val="28"/>
              </w:rPr>
              <w:t>20%</w:t>
            </w:r>
          </w:p>
        </w:tc>
      </w:tr>
    </w:tbl>
    <w:p>
      <w:pPr>
        <w:spacing w:line="560" w:lineRule="exact"/>
        <w:ind w:firstLine="602" w:firstLineChars="200"/>
        <w:rPr>
          <w:rFonts w:eastAsia="方正仿宋简体"/>
          <w:sz w:val="30"/>
          <w:szCs w:val="30"/>
        </w:rPr>
      </w:pPr>
      <w:r>
        <w:rPr>
          <w:rFonts w:hint="eastAsia" w:eastAsia="方正仿宋简体"/>
          <w:b/>
          <w:sz w:val="30"/>
          <w:szCs w:val="30"/>
        </w:rPr>
        <w:t>第三十二</w:t>
      </w:r>
      <w:r>
        <w:rPr>
          <w:rFonts w:eastAsia="方正仿宋简体"/>
          <w:b/>
          <w:sz w:val="30"/>
          <w:szCs w:val="30"/>
        </w:rPr>
        <w:t xml:space="preserve">条 </w:t>
      </w:r>
      <w:r>
        <w:rPr>
          <w:rFonts w:eastAsia="方正仿宋简体"/>
          <w:sz w:val="30"/>
          <w:szCs w:val="30"/>
        </w:rPr>
        <w:t>铸造铝合金期货合约涨跌停板幅度为上一交易日结算价</w:t>
      </w:r>
      <w:r>
        <w:rPr>
          <w:rFonts w:hint="eastAsia" w:ascii="方正仿宋简体" w:eastAsia="方正仿宋简体"/>
          <w:sz w:val="30"/>
          <w:szCs w:val="30"/>
        </w:rPr>
        <w:t>±</w:t>
      </w:r>
      <w:r>
        <w:rPr>
          <w:rFonts w:eastAsia="方正仿宋简体"/>
          <w:sz w:val="30"/>
          <w:szCs w:val="30"/>
        </w:rPr>
        <w:t>3%。</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三十三</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铸造铝合金期货合约在不同时期的限仓比例和限仓数额具体规定如下：</w:t>
      </w:r>
    </w:p>
    <w:p>
      <w:pPr>
        <w:spacing w:line="560" w:lineRule="exact"/>
        <w:jc w:val="left"/>
        <w:rPr>
          <w:rFonts w:eastAsia="方正仿宋简体"/>
          <w:sz w:val="28"/>
          <w:szCs w:val="30"/>
        </w:rPr>
      </w:pPr>
      <w:r>
        <w:rPr>
          <w:rFonts w:eastAsia="方正仿宋简体"/>
          <w:sz w:val="28"/>
          <w:szCs w:val="30"/>
        </w:rPr>
        <w:t>（单位：手）</w:t>
      </w:r>
    </w:p>
    <w:tbl>
      <w:tblPr>
        <w:tblStyle w:val="4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62"/>
        <w:gridCol w:w="1357"/>
        <w:gridCol w:w="1154"/>
        <w:gridCol w:w="1315"/>
        <w:gridCol w:w="1007"/>
        <w:gridCol w:w="942"/>
        <w:gridCol w:w="962"/>
        <w:gridCol w:w="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396" w:type="pct"/>
            <w:vMerge w:val="restart"/>
            <w:shd w:val="clear" w:color="auto" w:fill="auto"/>
            <w:vAlign w:val="center"/>
          </w:tcPr>
          <w:p>
            <w:pPr>
              <w:jc w:val="center"/>
              <w:rPr>
                <w:rFonts w:eastAsia="方正仿宋简体"/>
                <w:bCs/>
                <w:color w:val="000000"/>
                <w:sz w:val="24"/>
              </w:rPr>
            </w:pPr>
          </w:p>
        </w:tc>
        <w:tc>
          <w:tcPr>
            <w:tcW w:w="2287" w:type="pct"/>
            <w:gridSpan w:val="3"/>
            <w:tcBorders>
              <w:left w:val="single" w:color="auto" w:sz="4" w:space="0"/>
              <w:right w:val="single" w:color="auto" w:sz="4" w:space="0"/>
            </w:tcBorders>
            <w:shd w:val="clear" w:color="auto" w:fill="auto"/>
            <w:vAlign w:val="center"/>
          </w:tcPr>
          <w:p>
            <w:pPr>
              <w:jc w:val="center"/>
              <w:rPr>
                <w:rFonts w:eastAsia="方正仿宋简体"/>
                <w:b/>
                <w:bCs/>
                <w:color w:val="000000"/>
                <w:sz w:val="24"/>
              </w:rPr>
            </w:pPr>
            <w:r>
              <w:rPr>
                <w:rFonts w:eastAsia="方正仿宋简体"/>
                <w:b/>
                <w:bCs/>
                <w:color w:val="000000"/>
                <w:sz w:val="24"/>
              </w:rPr>
              <w:t>合约挂牌至交割月前第二月的最后一个交易日</w:t>
            </w:r>
          </w:p>
        </w:tc>
        <w:tc>
          <w:tcPr>
            <w:tcW w:w="1165" w:type="pct"/>
            <w:gridSpan w:val="2"/>
            <w:tcBorders>
              <w:left w:val="single" w:color="auto" w:sz="4" w:space="0"/>
            </w:tcBorders>
            <w:shd w:val="clear" w:color="auto" w:fill="auto"/>
            <w:vAlign w:val="center"/>
          </w:tcPr>
          <w:p>
            <w:pPr>
              <w:jc w:val="center"/>
              <w:rPr>
                <w:rFonts w:eastAsia="方正仿宋简体"/>
                <w:b/>
                <w:bCs/>
                <w:color w:val="000000"/>
                <w:sz w:val="24"/>
              </w:rPr>
            </w:pPr>
            <w:r>
              <w:rPr>
                <w:rFonts w:eastAsia="方正仿宋简体"/>
                <w:b/>
                <w:bCs/>
                <w:color w:val="000000"/>
                <w:sz w:val="24"/>
              </w:rPr>
              <w:t>交割月前</w:t>
            </w:r>
          </w:p>
          <w:p>
            <w:pPr>
              <w:jc w:val="center"/>
              <w:rPr>
                <w:rFonts w:eastAsia="方正仿宋简体"/>
                <w:b/>
                <w:bCs/>
                <w:color w:val="000000"/>
                <w:sz w:val="24"/>
              </w:rPr>
            </w:pPr>
            <w:r>
              <w:rPr>
                <w:rFonts w:eastAsia="方正仿宋简体"/>
                <w:b/>
                <w:bCs/>
                <w:color w:val="000000"/>
                <w:sz w:val="24"/>
              </w:rPr>
              <w:t>第一月</w:t>
            </w:r>
          </w:p>
        </w:tc>
        <w:tc>
          <w:tcPr>
            <w:tcW w:w="1149" w:type="pct"/>
            <w:gridSpan w:val="2"/>
            <w:shd w:val="clear" w:color="auto" w:fill="auto"/>
            <w:vAlign w:val="center"/>
          </w:tcPr>
          <w:p>
            <w:pPr>
              <w:jc w:val="center"/>
              <w:rPr>
                <w:rFonts w:eastAsia="方正仿宋简体"/>
                <w:b/>
                <w:bCs/>
                <w:color w:val="000000"/>
                <w:sz w:val="24"/>
              </w:rPr>
            </w:pPr>
            <w:r>
              <w:rPr>
                <w:rFonts w:eastAsia="方正仿宋简体"/>
                <w:b/>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9" w:hRule="atLeast"/>
          <w:jc w:val="center"/>
        </w:trPr>
        <w:tc>
          <w:tcPr>
            <w:tcW w:w="396" w:type="pct"/>
            <w:vMerge w:val="continue"/>
            <w:shd w:val="clear" w:color="auto" w:fill="auto"/>
            <w:vAlign w:val="center"/>
          </w:tcPr>
          <w:p>
            <w:pPr>
              <w:jc w:val="center"/>
              <w:rPr>
                <w:rFonts w:eastAsia="方正仿宋简体"/>
                <w:bCs/>
                <w:color w:val="000000"/>
                <w:sz w:val="24"/>
              </w:rPr>
            </w:pPr>
          </w:p>
        </w:tc>
        <w:tc>
          <w:tcPr>
            <w:tcW w:w="811" w:type="pct"/>
            <w:vMerge w:val="restart"/>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某一期货合约持仓量</w:t>
            </w:r>
          </w:p>
        </w:tc>
        <w:tc>
          <w:tcPr>
            <w:tcW w:w="1476" w:type="pct"/>
            <w:gridSpan w:val="2"/>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限仓比例（%）</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65" w:type="pct"/>
            <w:gridSpan w:val="2"/>
            <w:tcBorders>
              <w:left w:val="single" w:color="auto" w:sz="4" w:space="0"/>
            </w:tcBorders>
            <w:shd w:val="clear" w:color="auto" w:fill="auto"/>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149" w:type="pct"/>
            <w:gridSpan w:val="2"/>
            <w:shd w:val="clear" w:color="auto" w:fill="auto"/>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3" w:hRule="atLeast"/>
          <w:jc w:val="center"/>
        </w:trPr>
        <w:tc>
          <w:tcPr>
            <w:tcW w:w="396" w:type="pct"/>
            <w:vMerge w:val="continue"/>
            <w:shd w:val="clear" w:color="auto" w:fill="auto"/>
            <w:vAlign w:val="center"/>
          </w:tcPr>
          <w:p>
            <w:pPr>
              <w:jc w:val="center"/>
              <w:rPr>
                <w:rFonts w:eastAsia="方正仿宋简体"/>
                <w:bCs/>
                <w:color w:val="000000"/>
                <w:sz w:val="24"/>
              </w:rPr>
            </w:pPr>
          </w:p>
        </w:tc>
        <w:tc>
          <w:tcPr>
            <w:tcW w:w="811" w:type="pct"/>
            <w:vMerge w:val="continue"/>
            <w:tcBorders>
              <w:left w:val="single" w:color="auto" w:sz="4" w:space="0"/>
              <w:right w:val="single" w:color="auto" w:sz="4" w:space="0"/>
            </w:tcBorders>
            <w:shd w:val="clear" w:color="auto" w:fill="auto"/>
            <w:vAlign w:val="center"/>
          </w:tcPr>
          <w:p>
            <w:pPr>
              <w:jc w:val="center"/>
              <w:rPr>
                <w:rFonts w:eastAsia="方正仿宋简体"/>
                <w:bCs/>
                <w:color w:val="000000"/>
                <w:sz w:val="24"/>
              </w:rPr>
            </w:pPr>
          </w:p>
        </w:tc>
        <w:tc>
          <w:tcPr>
            <w:tcW w:w="690"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785"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c>
          <w:tcPr>
            <w:tcW w:w="602"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563"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c>
          <w:tcPr>
            <w:tcW w:w="575"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非期货公司会员</w:t>
            </w:r>
          </w:p>
        </w:tc>
        <w:tc>
          <w:tcPr>
            <w:tcW w:w="574" w:type="pct"/>
            <w:shd w:val="clear" w:color="auto" w:fill="auto"/>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 w:hRule="atLeast"/>
          <w:jc w:val="center"/>
        </w:trPr>
        <w:tc>
          <w:tcPr>
            <w:tcW w:w="396"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铸造铝合金</w:t>
            </w:r>
          </w:p>
        </w:tc>
        <w:tc>
          <w:tcPr>
            <w:tcW w:w="811" w:type="pct"/>
            <w:tcBorders>
              <w:left w:val="single" w:color="auto" w:sz="4" w:space="0"/>
              <w:right w:val="single" w:color="auto" w:sz="4" w:space="0"/>
            </w:tcBorders>
            <w:shd w:val="clear" w:color="auto" w:fill="auto"/>
            <w:vAlign w:val="center"/>
          </w:tcPr>
          <w:p>
            <w:pPr>
              <w:jc w:val="center"/>
              <w:rPr>
                <w:rFonts w:eastAsia="方正仿宋简体"/>
                <w:bCs/>
                <w:color w:val="000000"/>
                <w:sz w:val="24"/>
              </w:rPr>
            </w:pPr>
            <w:r>
              <w:rPr>
                <w:rFonts w:hint="eastAsia" w:ascii="方正仿宋简体" w:eastAsia="方正仿宋简体"/>
                <w:bCs/>
                <w:color w:val="000000"/>
                <w:sz w:val="24"/>
              </w:rPr>
              <w:t>≥</w:t>
            </w:r>
            <w:r>
              <w:rPr>
                <w:rFonts w:eastAsia="方正仿宋简体"/>
                <w:bCs/>
                <w:color w:val="000000"/>
                <w:sz w:val="24"/>
              </w:rPr>
              <w:t>9000手</w:t>
            </w:r>
          </w:p>
        </w:tc>
        <w:tc>
          <w:tcPr>
            <w:tcW w:w="690" w:type="pc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10</w:t>
            </w:r>
          </w:p>
        </w:tc>
        <w:tc>
          <w:tcPr>
            <w:tcW w:w="785" w:type="pct"/>
            <w:shd w:val="clear" w:color="auto" w:fill="auto"/>
            <w:vAlign w:val="center"/>
          </w:tcPr>
          <w:p>
            <w:pPr>
              <w:jc w:val="center"/>
              <w:rPr>
                <w:rFonts w:eastAsia="方正仿宋简体"/>
                <w:bCs/>
                <w:color w:val="000000"/>
                <w:sz w:val="24"/>
              </w:rPr>
            </w:pPr>
            <w:r>
              <w:rPr>
                <w:rFonts w:eastAsia="方正仿宋简体"/>
                <w:bCs/>
                <w:color w:val="000000"/>
                <w:sz w:val="24"/>
              </w:rPr>
              <w:t>10</w:t>
            </w:r>
          </w:p>
        </w:tc>
        <w:tc>
          <w:tcPr>
            <w:tcW w:w="602" w:type="pct"/>
            <w:vMerge w:val="restar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300</w:t>
            </w:r>
          </w:p>
        </w:tc>
        <w:tc>
          <w:tcPr>
            <w:tcW w:w="563"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300</w:t>
            </w:r>
          </w:p>
        </w:tc>
        <w:tc>
          <w:tcPr>
            <w:tcW w:w="575" w:type="pct"/>
            <w:vMerge w:val="restart"/>
            <w:tcBorders>
              <w:left w:val="single" w:color="auto" w:sz="4" w:space="0"/>
            </w:tcBorders>
            <w:shd w:val="clear" w:color="auto" w:fill="auto"/>
            <w:vAlign w:val="center"/>
          </w:tcPr>
          <w:p>
            <w:pPr>
              <w:jc w:val="center"/>
              <w:rPr>
                <w:rFonts w:eastAsia="方正仿宋简体"/>
                <w:bCs/>
                <w:color w:val="000000"/>
                <w:sz w:val="24"/>
              </w:rPr>
            </w:pPr>
            <w:r>
              <w:rPr>
                <w:rFonts w:eastAsia="方正仿宋简体"/>
                <w:bCs/>
                <w:color w:val="000000"/>
                <w:sz w:val="24"/>
              </w:rPr>
              <w:t>90</w:t>
            </w:r>
          </w:p>
        </w:tc>
        <w:tc>
          <w:tcPr>
            <w:tcW w:w="574" w:type="pct"/>
            <w:vMerge w:val="restart"/>
            <w:shd w:val="clear" w:color="auto" w:fill="auto"/>
            <w:vAlign w:val="center"/>
          </w:tcPr>
          <w:p>
            <w:pPr>
              <w:jc w:val="center"/>
              <w:rPr>
                <w:rFonts w:eastAsia="方正仿宋简体"/>
                <w:bCs/>
                <w:color w:val="000000"/>
                <w:sz w:val="24"/>
              </w:rPr>
            </w:pPr>
            <w:r>
              <w:rPr>
                <w:rFonts w:eastAsia="方正仿宋简体"/>
                <w:bCs/>
                <w:color w:val="000000"/>
                <w:sz w:val="24"/>
              </w:rPr>
              <w:t>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 w:hRule="atLeast"/>
          <w:jc w:val="center"/>
        </w:trPr>
        <w:tc>
          <w:tcPr>
            <w:tcW w:w="396" w:type="pct"/>
            <w:vMerge w:val="continue"/>
            <w:shd w:val="clear" w:color="auto" w:fill="auto"/>
            <w:vAlign w:val="center"/>
          </w:tcPr>
          <w:p>
            <w:pPr>
              <w:jc w:val="center"/>
              <w:rPr>
                <w:bCs/>
                <w:color w:val="000000"/>
                <w:sz w:val="24"/>
              </w:rPr>
            </w:pPr>
          </w:p>
        </w:tc>
        <w:tc>
          <w:tcPr>
            <w:tcW w:w="811" w:type="pct"/>
            <w:tcBorders>
              <w:left w:val="single" w:color="auto" w:sz="4" w:space="0"/>
              <w:right w:val="single" w:color="auto" w:sz="4" w:space="0"/>
            </w:tcBorders>
            <w:shd w:val="clear" w:color="auto" w:fill="auto"/>
            <w:vAlign w:val="center"/>
          </w:tcPr>
          <w:p>
            <w:pPr>
              <w:jc w:val="center"/>
              <w:rPr>
                <w:bCs/>
                <w:color w:val="000000"/>
                <w:sz w:val="24"/>
              </w:rPr>
            </w:pPr>
            <w:r>
              <w:rPr>
                <w:bCs/>
                <w:color w:val="000000"/>
                <w:sz w:val="24"/>
              </w:rPr>
              <w:t>＜9000手</w:t>
            </w:r>
          </w:p>
        </w:tc>
        <w:tc>
          <w:tcPr>
            <w:tcW w:w="690" w:type="pct"/>
            <w:tcBorders>
              <w:left w:val="single" w:color="auto" w:sz="4" w:space="0"/>
            </w:tcBorders>
            <w:shd w:val="clear" w:color="auto" w:fill="auto"/>
            <w:vAlign w:val="center"/>
          </w:tcPr>
          <w:p>
            <w:pPr>
              <w:jc w:val="center"/>
              <w:rPr>
                <w:bCs/>
                <w:color w:val="000000"/>
                <w:sz w:val="24"/>
              </w:rPr>
            </w:pPr>
            <w:r>
              <w:rPr>
                <w:bCs/>
                <w:color w:val="000000"/>
                <w:sz w:val="24"/>
              </w:rPr>
              <w:t>900</w:t>
            </w:r>
          </w:p>
        </w:tc>
        <w:tc>
          <w:tcPr>
            <w:tcW w:w="785" w:type="pct"/>
            <w:shd w:val="clear" w:color="auto" w:fill="auto"/>
            <w:vAlign w:val="center"/>
          </w:tcPr>
          <w:p>
            <w:pPr>
              <w:jc w:val="center"/>
              <w:rPr>
                <w:bCs/>
                <w:color w:val="000000"/>
                <w:sz w:val="24"/>
              </w:rPr>
            </w:pPr>
            <w:r>
              <w:rPr>
                <w:bCs/>
                <w:color w:val="000000"/>
                <w:sz w:val="24"/>
              </w:rPr>
              <w:t>900</w:t>
            </w:r>
          </w:p>
        </w:tc>
        <w:tc>
          <w:tcPr>
            <w:tcW w:w="602" w:type="pct"/>
            <w:vMerge w:val="continue"/>
            <w:tcBorders>
              <w:left w:val="single" w:color="auto" w:sz="4" w:space="0"/>
            </w:tcBorders>
            <w:shd w:val="clear" w:color="auto" w:fill="auto"/>
            <w:vAlign w:val="center"/>
          </w:tcPr>
          <w:p>
            <w:pPr>
              <w:jc w:val="center"/>
              <w:rPr>
                <w:bCs/>
                <w:color w:val="000000"/>
                <w:sz w:val="24"/>
              </w:rPr>
            </w:pPr>
          </w:p>
        </w:tc>
        <w:tc>
          <w:tcPr>
            <w:tcW w:w="563" w:type="pct"/>
            <w:vMerge w:val="continue"/>
            <w:shd w:val="clear" w:color="auto" w:fill="auto"/>
            <w:vAlign w:val="center"/>
          </w:tcPr>
          <w:p>
            <w:pPr>
              <w:jc w:val="center"/>
              <w:rPr>
                <w:bCs/>
                <w:color w:val="000000"/>
                <w:sz w:val="24"/>
              </w:rPr>
            </w:pPr>
          </w:p>
        </w:tc>
        <w:tc>
          <w:tcPr>
            <w:tcW w:w="575" w:type="pct"/>
            <w:vMerge w:val="continue"/>
            <w:tcBorders>
              <w:left w:val="single" w:color="auto" w:sz="4" w:space="0"/>
            </w:tcBorders>
            <w:shd w:val="clear" w:color="auto" w:fill="auto"/>
            <w:vAlign w:val="center"/>
          </w:tcPr>
          <w:p>
            <w:pPr>
              <w:jc w:val="center"/>
              <w:rPr>
                <w:bCs/>
                <w:color w:val="000000"/>
                <w:sz w:val="24"/>
              </w:rPr>
            </w:pPr>
          </w:p>
        </w:tc>
        <w:tc>
          <w:tcPr>
            <w:tcW w:w="574" w:type="pct"/>
            <w:vMerge w:val="continue"/>
            <w:shd w:val="clear" w:color="auto" w:fill="auto"/>
            <w:vAlign w:val="center"/>
          </w:tcPr>
          <w:p>
            <w:pPr>
              <w:jc w:val="center"/>
              <w:rPr>
                <w:bCs/>
                <w:color w:val="000000"/>
                <w:sz w:val="24"/>
              </w:rPr>
            </w:pPr>
          </w:p>
        </w:tc>
      </w:tr>
    </w:tbl>
    <w:p>
      <w:pPr>
        <w:spacing w:line="560" w:lineRule="exact"/>
        <w:jc w:val="left"/>
        <w:rPr>
          <w:rFonts w:ascii="方正仿宋简体" w:eastAsia="方正仿宋简体"/>
          <w:bCs/>
          <w:color w:val="000000"/>
          <w:sz w:val="22"/>
        </w:rPr>
      </w:pPr>
      <w:r>
        <w:rPr>
          <w:rFonts w:hint="eastAsia" w:ascii="方正仿宋简体" w:eastAsia="方正仿宋简体"/>
          <w:b/>
          <w:bCs/>
          <w:color w:val="000000"/>
          <w:sz w:val="22"/>
        </w:rPr>
        <w:t>注：</w:t>
      </w:r>
      <w:r>
        <w:rPr>
          <w:rFonts w:hint="eastAsia" w:ascii="方正仿宋简体" w:eastAsia="方正仿宋简体"/>
          <w:bCs/>
          <w:color w:val="000000"/>
          <w:sz w:val="22"/>
        </w:rPr>
        <w:t>表中持仓量、限仓数额为单向计算。</w:t>
      </w:r>
    </w:p>
    <w:p>
      <w:pPr>
        <w:spacing w:line="560" w:lineRule="exact"/>
        <w:ind w:firstLine="602" w:firstLineChars="200"/>
        <w:rPr>
          <w:rFonts w:eastAsia="方正仿宋简体"/>
          <w:sz w:val="30"/>
          <w:szCs w:val="30"/>
        </w:rPr>
      </w:pPr>
      <w:r>
        <w:rPr>
          <w:rFonts w:hint="eastAsia" w:eastAsia="方正仿宋简体"/>
          <w:b/>
          <w:sz w:val="30"/>
          <w:szCs w:val="30"/>
        </w:rPr>
        <w:t>第三十四条</w:t>
      </w:r>
      <w:r>
        <w:rPr>
          <w:rFonts w:hint="eastAsia" w:eastAsia="方正仿宋简体"/>
          <w:sz w:val="30"/>
          <w:szCs w:val="30"/>
        </w:rPr>
        <w:t xml:space="preserve"> 交割月前第一月的最后一个交易日收盘前，交易者（即客户、非期货公司会员，下同）在每个交易编码上的铸造铝合金期货合约的一般持仓应当调整为</w:t>
      </w:r>
      <w:r>
        <w:rPr>
          <w:rFonts w:eastAsia="方正仿宋简体"/>
          <w:sz w:val="30"/>
          <w:szCs w:val="30"/>
        </w:rPr>
        <w:t>3</w:t>
      </w:r>
      <w:r>
        <w:rPr>
          <w:rFonts w:hint="eastAsia" w:eastAsia="方正仿宋简体"/>
          <w:sz w:val="30"/>
          <w:szCs w:val="30"/>
        </w:rPr>
        <w:t>手的整倍数（遇市场特殊情况无法按期调整的，可以顺延一天）; 进入交割月后，铸造铝合金期货合约一般持仓应当是</w:t>
      </w:r>
      <w:r>
        <w:rPr>
          <w:rFonts w:eastAsia="方正仿宋简体"/>
          <w:sz w:val="30"/>
          <w:szCs w:val="30"/>
        </w:rPr>
        <w:t>3</w:t>
      </w:r>
      <w:r>
        <w:rPr>
          <w:rFonts w:hint="eastAsia" w:eastAsia="方正仿宋简体"/>
          <w:sz w:val="30"/>
          <w:szCs w:val="30"/>
        </w:rPr>
        <w:t>手的整倍数，新开仓、平仓也应当是</w:t>
      </w:r>
      <w:r>
        <w:rPr>
          <w:rFonts w:eastAsia="方正仿宋简体"/>
          <w:sz w:val="30"/>
          <w:szCs w:val="30"/>
        </w:rPr>
        <w:t>3</w:t>
      </w:r>
      <w:r>
        <w:rPr>
          <w:rFonts w:hint="eastAsia" w:eastAsia="方正仿宋简体"/>
          <w:sz w:val="30"/>
          <w:szCs w:val="30"/>
        </w:rPr>
        <w:t>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三十五</w:t>
      </w:r>
      <w:r>
        <w:rPr>
          <w:rFonts w:eastAsia="方正仿宋简体"/>
          <w:b/>
          <w:sz w:val="30"/>
          <w:szCs w:val="30"/>
        </w:rPr>
        <w:t>条</w:t>
      </w:r>
      <w:r>
        <w:rPr>
          <w:rFonts w:hint="eastAsia" w:eastAsia="仿宋"/>
          <w:b/>
          <w:sz w:val="30"/>
          <w:szCs w:val="30"/>
        </w:rPr>
        <w:t xml:space="preserve"> </w:t>
      </w:r>
      <w:r>
        <w:rPr>
          <w:rFonts w:eastAsia="方正仿宋简体"/>
          <w:sz w:val="30"/>
          <w:szCs w:val="30"/>
        </w:rPr>
        <w:t>交易所对某一铸造铝合金期货合约采取强制减仓的，其申报平仓数量、持仓盈利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交易者该</w:t>
      </w:r>
      <w:r>
        <w:rPr>
          <w:rFonts w:eastAsia="方正仿宋简体"/>
          <w:sz w:val="30"/>
          <w:szCs w:val="30"/>
        </w:rPr>
        <w:t>铸造铝合金期货合约的单位净持仓亏损大于或者等于强制减仓基准日结算价6%的所有申报平仓数量的总和为平仓数量。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（四）平仓数量的分配</w:t>
      </w:r>
      <w:r>
        <w:rPr>
          <w:rFonts w:hint="eastAsia" w:eastAsia="方正仿宋简体"/>
          <w:sz w:val="30"/>
          <w:szCs w:val="30"/>
        </w:rPr>
        <w:t>方法</w:t>
      </w:r>
      <w:r>
        <w:rPr>
          <w:rFonts w:eastAsia="方正仿宋简体"/>
          <w:sz w:val="30"/>
          <w:szCs w:val="30"/>
        </w:rPr>
        <w:t>。盈利6%以上的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before="156" w:beforeLines="50"/>
        <w:jc w:val="center"/>
        <w:rPr>
          <w:rFonts w:ascii="黑体" w:hAnsi="黑体" w:eastAsia="黑体"/>
          <w:sz w:val="30"/>
          <w:szCs w:val="30"/>
        </w:rPr>
      </w:pPr>
      <w:r>
        <w:rPr>
          <w:rFonts w:hint="eastAsia" w:ascii="黑体" w:hAnsi="黑体" w:eastAsia="黑体"/>
          <w:sz w:val="30"/>
          <w:szCs w:val="30"/>
        </w:rPr>
        <w:t>第五章 附 则</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hint="eastAsia" w:eastAsia="方正仿宋简体"/>
          <w:b/>
          <w:sz w:val="30"/>
          <w:szCs w:val="30"/>
        </w:rPr>
        <w:t>第三十七条</w:t>
      </w:r>
      <w:r>
        <w:rPr>
          <w:rFonts w:hint="eastAsia"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rPr>
          <w:rFonts w:eastAsia="方正仿宋简体"/>
          <w:sz w:val="30"/>
          <w:szCs w:val="30"/>
        </w:rPr>
      </w:pPr>
      <w:r>
        <w:rPr>
          <w:rFonts w:eastAsia="方正仿宋简体"/>
          <w:sz w:val="30"/>
          <w:szCs w:val="30"/>
        </w:rPr>
        <w:br w:type="page"/>
      </w:r>
    </w:p>
    <w:p>
      <w:pPr>
        <w:spacing w:line="560" w:lineRule="exact"/>
        <w:jc w:val="center"/>
        <w:outlineLvl w:val="0"/>
        <w:rPr>
          <w:rFonts w:hint="eastAsia" w:ascii="Times New Roman" w:hAnsi="Times New Roman" w:eastAsia="方正大标宋简体" w:cs="Times New Roman"/>
          <w:b/>
          <w:bCs/>
          <w:kern w:val="44"/>
          <w:sz w:val="44"/>
          <w:szCs w:val="44"/>
          <w:lang w:val="en-US" w:eastAsia="zh-CN" w:bidi="ar-SA"/>
        </w:rPr>
      </w:pPr>
      <w:bookmarkStart w:id="6" w:name="_Toc996545294"/>
      <w:r>
        <w:rPr>
          <w:rFonts w:hint="eastAsia" w:ascii="Times New Roman" w:hAnsi="Times New Roman" w:eastAsia="方正大标宋简体" w:cs="Times New Roman"/>
          <w:b/>
          <w:bCs/>
          <w:kern w:val="44"/>
          <w:sz w:val="44"/>
          <w:szCs w:val="44"/>
          <w:lang w:val="en-US" w:eastAsia="zh-CN" w:bidi="ar-SA"/>
        </w:rPr>
        <w:t>上海期货交易所胶版印刷纸期货业务细则</w:t>
      </w:r>
      <w:bookmarkEnd w:id="6"/>
    </w:p>
    <w:p>
      <w:pPr>
        <w:spacing w:line="560" w:lineRule="exact"/>
        <w:jc w:val="center"/>
        <w:outlineLvl w:val="0"/>
        <w:rPr>
          <w:rFonts w:ascii="方正大标宋简体" w:hAnsi="方正大标宋简体" w:eastAsia="方正大标宋简体"/>
          <w:sz w:val="32"/>
          <w:szCs w:val="32"/>
        </w:rPr>
      </w:pPr>
      <w:r>
        <w:rPr>
          <w:rFonts w:ascii="方正大标宋简体" w:hAnsi="方正大标宋简体" w:eastAsia="方正大标宋简体"/>
          <w:sz w:val="32"/>
          <w:szCs w:val="32"/>
        </w:rPr>
        <w:t>（修订版）</w:t>
      </w:r>
    </w:p>
    <w:p/>
    <w:p>
      <w:pPr>
        <w:pStyle w:val="137"/>
        <w:spacing w:line="560" w:lineRule="exact"/>
        <w:ind w:firstLineChars="0"/>
        <w:jc w:val="center"/>
        <w:rPr>
          <w:rFonts w:ascii="Times New Roman" w:hAnsi="Times New Roman" w:eastAsia="方正黑体简体"/>
          <w:sz w:val="30"/>
          <w:szCs w:val="30"/>
        </w:rPr>
      </w:pPr>
    </w:p>
    <w:p>
      <w:pPr>
        <w:pStyle w:val="137"/>
        <w:numPr>
          <w:ilvl w:val="0"/>
          <w:numId w:val="6"/>
        </w:numPr>
        <w:spacing w:line="560" w:lineRule="exact"/>
        <w:ind w:firstLineChars="0"/>
        <w:jc w:val="center"/>
        <w:rPr>
          <w:rFonts w:ascii="Times New Roman" w:hAnsi="Times New Roman" w:eastAsia="方正黑体简体"/>
          <w:sz w:val="30"/>
          <w:szCs w:val="30"/>
        </w:rPr>
      </w:pPr>
      <w:r>
        <w:rPr>
          <w:rFonts w:ascii="Times New Roman" w:hAnsi="Times New Roman" w:eastAsia="方正黑体简体"/>
          <w:sz w:val="30"/>
          <w:szCs w:val="30"/>
        </w:rPr>
        <w:t>总则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为了规范上海期货交易所（以下简称交易所）胶版印刷纸期货相关业务，根据《上海期货交易所交易规则》《上海期货交易所胶版印刷纸期货合约》以及相关业务规则，制定本细则。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交易所、会员、客户、交割库、指定检验机构、期货保证金存管机构以及期货市场其他参与者应当遵守本细则。</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第二章 交易业务</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胶版印刷纸期货合约的交易单位为</w:t>
      </w:r>
      <w:r>
        <w:rPr>
          <w:rFonts w:hint="eastAsia" w:ascii="Times New Roman" w:hAnsi="Times New Roman" w:eastAsia="方正仿宋简体"/>
          <w:sz w:val="30"/>
          <w:szCs w:val="30"/>
        </w:rPr>
        <w:t>4</w:t>
      </w:r>
      <w:r>
        <w:rPr>
          <w:rFonts w:ascii="Times New Roman" w:hAnsi="Times New Roman" w:eastAsia="方正仿宋简体"/>
          <w:sz w:val="30"/>
          <w:szCs w:val="30"/>
        </w:rPr>
        <w:t>0吨/手。</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胶版印刷纸期货合约的报价单位为元（人民币）/吨。</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胶版印刷纸期货合约的最小变动价位为2元/吨。</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胶版印刷纸期货合约月份为1～12月。</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胶版印刷纸期货合约的交易时间为上午9:00～11:30，下午1:30～3:00和交易所规定的其他交易时间。</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胶版印刷纸期货合约的最后交易日为合约月份的15日，遇国家法定节假日顺延，春节月份等最后交易日交易所可另行调整并通知。</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胶版印刷纸期货合约的交易代码为OP。</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第十一条</w:t>
      </w:r>
      <w:r>
        <w:rPr>
          <w:rFonts w:hint="eastAsia" w:ascii="Times New Roman" w:hAnsi="Times New Roman" w:eastAsia="方正仿宋简体"/>
          <w:b/>
          <w:sz w:val="30"/>
          <w:szCs w:val="30"/>
        </w:rPr>
        <w:t xml:space="preserve"> </w:t>
      </w:r>
      <w:r>
        <w:rPr>
          <w:rFonts w:hint="eastAsia" w:ascii="Times New Roman" w:hAnsi="Times New Roman" w:eastAsia="方正仿宋简体"/>
          <w:sz w:val="30"/>
          <w:szCs w:val="30"/>
        </w:rPr>
        <w:t>按合约方式申请</w:t>
      </w:r>
      <w:r>
        <w:rPr>
          <w:rFonts w:ascii="Times New Roman" w:hAnsi="Times New Roman" w:eastAsia="方正仿宋简体"/>
          <w:sz w:val="30"/>
          <w:szCs w:val="30"/>
        </w:rPr>
        <w:t>胶版印刷纸期货一般月份套期保值</w:t>
      </w:r>
      <w:r>
        <w:rPr>
          <w:rFonts w:hint="eastAsia" w:ascii="Times New Roman" w:hAnsi="Times New Roman" w:eastAsia="方正仿宋简体"/>
          <w:sz w:val="30"/>
          <w:szCs w:val="30"/>
        </w:rPr>
        <w:t>交易持仓额度的，</w:t>
      </w:r>
      <w:r>
        <w:rPr>
          <w:rFonts w:ascii="Times New Roman" w:hAnsi="Times New Roman" w:eastAsia="方正仿宋简体"/>
          <w:sz w:val="30"/>
          <w:szCs w:val="30"/>
        </w:rPr>
        <w:t>应当在该套期保值所涉合约交割月前第二月的最后一个交易日之前提出，逾期交易所不再受理。</w:t>
      </w:r>
      <w:r>
        <w:rPr>
          <w:rFonts w:hint="eastAsia" w:ascii="Times New Roman" w:hAnsi="Times New Roman" w:eastAsia="方正仿宋简体"/>
          <w:sz w:val="30"/>
          <w:szCs w:val="30"/>
        </w:rPr>
        <w:t>按品种方式申请一般月份套期保值交易持仓额度的，按照《上海期货交易所套期保值交易管理办法》相关</w:t>
      </w:r>
      <w:r>
        <w:rPr>
          <w:rFonts w:ascii="Times New Roman" w:hAnsi="Times New Roman" w:eastAsia="方正仿宋简体"/>
          <w:sz w:val="30"/>
          <w:szCs w:val="30"/>
        </w:rPr>
        <w:t>规定</w:t>
      </w:r>
      <w:r>
        <w:rPr>
          <w:rFonts w:hint="eastAsia" w:ascii="Times New Roman" w:hAnsi="Times New Roman" w:eastAsia="方正仿宋简体"/>
          <w:sz w:val="30"/>
          <w:szCs w:val="30"/>
        </w:rPr>
        <w:t>执行。</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胶版印刷纸期货临近交割月份套期保值交易</w:t>
      </w:r>
      <w:r>
        <w:rPr>
          <w:rFonts w:hint="eastAsia" w:ascii="Times New Roman" w:hAnsi="Times New Roman" w:eastAsia="方正仿宋简体"/>
          <w:sz w:val="30"/>
          <w:szCs w:val="30"/>
        </w:rPr>
        <w:t>持仓额度</w:t>
      </w:r>
      <w:r>
        <w:rPr>
          <w:rFonts w:ascii="Times New Roman" w:hAnsi="Times New Roman" w:eastAsia="方正仿宋简体"/>
          <w:sz w:val="30"/>
          <w:szCs w:val="30"/>
        </w:rPr>
        <w:t>的申请应当在该套期保值所涉合约交割月前第</w:t>
      </w:r>
      <w:r>
        <w:rPr>
          <w:rFonts w:hint="eastAsia" w:ascii="Times New Roman" w:hAnsi="Times New Roman" w:eastAsia="方正仿宋简体"/>
          <w:sz w:val="30"/>
          <w:szCs w:val="30"/>
        </w:rPr>
        <w:t>二</w:t>
      </w:r>
      <w:r>
        <w:rPr>
          <w:rFonts w:ascii="Times New Roman" w:hAnsi="Times New Roman" w:eastAsia="方正仿宋简体"/>
          <w:sz w:val="30"/>
          <w:szCs w:val="30"/>
        </w:rPr>
        <w:t>月</w:t>
      </w:r>
      <w:r>
        <w:rPr>
          <w:rFonts w:eastAsia="方正仿宋简体"/>
          <w:color w:val="000000" w:themeColor="text1"/>
          <w:sz w:val="30"/>
          <w:szCs w:val="30"/>
          <w14:textFill>
            <w14:solidFill>
              <w14:schemeClr w14:val="tx1"/>
            </w14:solidFill>
          </w14:textFill>
        </w:rPr>
        <w:t>的第一个交易日至交割月前第一月的最后一个交易日之间提出，逾期交易所不再受理；</w:t>
      </w:r>
      <w:r>
        <w:rPr>
          <w:rFonts w:ascii="Times New Roman" w:hAnsi="Times New Roman" w:eastAsia="方正仿宋简体"/>
          <w:sz w:val="30"/>
          <w:szCs w:val="30"/>
        </w:rPr>
        <w:t>胶版印刷纸</w:t>
      </w:r>
      <w:r>
        <w:rPr>
          <w:rFonts w:eastAsia="方正仿宋简体"/>
          <w:color w:val="000000" w:themeColor="text1"/>
          <w:sz w:val="30"/>
          <w:szCs w:val="30"/>
          <w14:textFill>
            <w14:solidFill>
              <w14:schemeClr w14:val="tx1"/>
            </w14:solidFill>
          </w14:textFill>
        </w:rPr>
        <w:t>期货临近交割月份套利交易</w:t>
      </w:r>
      <w:r>
        <w:rPr>
          <w:rFonts w:hint="eastAsia" w:eastAsia="方正仿宋简体"/>
          <w:color w:val="000000" w:themeColor="text1"/>
          <w:sz w:val="30"/>
          <w:szCs w:val="30"/>
          <w14:textFill>
            <w14:solidFill>
              <w14:schemeClr w14:val="tx1"/>
            </w14:solidFill>
          </w14:textFill>
        </w:rPr>
        <w:t>持仓额度</w:t>
      </w:r>
      <w:r>
        <w:rPr>
          <w:rFonts w:eastAsia="方正仿宋简体"/>
          <w:color w:val="000000" w:themeColor="text1"/>
          <w:sz w:val="30"/>
          <w:szCs w:val="30"/>
          <w14:textFill>
            <w14:solidFill>
              <w14:schemeClr w14:val="tx1"/>
            </w14:solidFill>
          </w14:textFill>
        </w:rPr>
        <w:t>的申请应当在该套利所涉合约交割月前第二月的第一个交易日至交割月前第一月的最后一个交易日之间提出，逾期交易所不再受理。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胶版印刷纸期货套期保值交易持仓额度自交割月份第一交易日起不得重复使用。</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第三章 交割业务</w:t>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第一节 一般规定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胶版印刷纸期货适用期货转现货、仓库交割、厂库交割。</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胶版印刷纸期货实行完税交割。</w:t>
      </w:r>
    </w:p>
    <w:p>
      <w:pPr>
        <w:spacing w:line="560" w:lineRule="exact"/>
        <w:ind w:firstLine="602" w:firstLineChars="200"/>
        <w:rPr>
          <w:rFonts w:ascii="Times New Roman" w:hAnsi="Times New Roman" w:eastAsia="方正仿宋简体"/>
          <w:color w:val="000000"/>
          <w:sz w:val="30"/>
          <w:szCs w:val="30"/>
        </w:rPr>
      </w:pPr>
      <w:r>
        <w:rPr>
          <w:rFonts w:ascii="Times New Roman" w:hAnsi="Times New Roman" w:eastAsia="方正仿宋简体"/>
          <w:b/>
          <w:sz w:val="30"/>
          <w:szCs w:val="30"/>
        </w:rPr>
        <w:t>第十四条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胶版印刷纸期货的交割品级和规格详见《上海期货交易所胶版印刷纸期</w:t>
      </w:r>
      <w:r>
        <w:rPr>
          <w:rFonts w:ascii="Times New Roman" w:hAnsi="Times New Roman" w:eastAsia="方正仿宋简体"/>
          <w:color w:val="000000"/>
          <w:sz w:val="30"/>
          <w:szCs w:val="30"/>
        </w:rPr>
        <w:t>货合约》。</w:t>
      </w:r>
      <w:r>
        <w:rPr>
          <w:rFonts w:ascii="Times New Roman" w:hAnsi="Times New Roman" w:eastAsia="方正仿宋简体"/>
          <w:bCs/>
          <w:color w:val="000000"/>
          <w:sz w:val="30"/>
          <w:szCs w:val="30"/>
        </w:rPr>
        <w:t>用于实物交割的胶版印刷纸，应当为定量65g/m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、70g/m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、75g/m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、80g/m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的双面胶版印刷纸（以下简称双胶纸）</w:t>
      </w:r>
      <w:r>
        <w:rPr>
          <w:rFonts w:ascii="Times New Roman" w:hAnsi="Times New Roman" w:eastAsia="方正仿宋简体"/>
          <w:color w:val="000000"/>
          <w:sz w:val="30"/>
          <w:szCs w:val="30"/>
        </w:rPr>
        <w:t>。</w:t>
      </w:r>
    </w:p>
    <w:p>
      <w:pPr>
        <w:spacing w:line="560" w:lineRule="exact"/>
        <w:ind w:firstLine="602" w:firstLineChars="200"/>
        <w:rPr>
          <w:rFonts w:ascii="Times New Roman" w:hAnsi="Times New Roman" w:eastAsia="方正仿宋简体"/>
          <w:color w:val="000000"/>
          <w:sz w:val="30"/>
          <w:szCs w:val="30"/>
        </w:rPr>
      </w:pPr>
      <w:r>
        <w:rPr>
          <w:rFonts w:ascii="Times New Roman" w:hAnsi="Times New Roman" w:eastAsia="方正仿宋简体"/>
          <w:b/>
          <w:color w:val="000000"/>
          <w:sz w:val="30"/>
          <w:szCs w:val="30"/>
        </w:rPr>
        <w:t>第十五条</w:t>
      </w:r>
      <w:r>
        <w:rPr>
          <w:rFonts w:hint="eastAsia" w:ascii="Times New Roman" w:hAnsi="Times New Roman" w:eastAsia="方正仿宋简体"/>
          <w:b/>
          <w:color w:val="000000"/>
          <w:sz w:val="30"/>
          <w:szCs w:val="30"/>
        </w:rPr>
        <w:t xml:space="preserve"> </w:t>
      </w:r>
      <w:r>
        <w:rPr>
          <w:rFonts w:ascii="Times New Roman" w:hAnsi="Times New Roman" w:eastAsia="方正仿宋简体"/>
          <w:color w:val="000000"/>
          <w:sz w:val="30"/>
          <w:szCs w:val="30"/>
        </w:rPr>
        <w:t>交割双胶纸应当是交易所认证的商品，具体认证商品由交易所认证并公告。</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交割商品的包装</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（一）每一标准仓单的双胶纸，应当是同一生产企业生产、同一品牌、同一定量、同一宽度的商品组成。组成每一标准仓单的双胶纸的生产日期应当不超过连续15日，且以最早日期作为该标准仓单的生产日期。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（二）交割双胶纸为卷筒包装，应当符合交易所认证商品的包装要求。用于交割的每卷双胶纸直径应当为1050±50mm，筒芯应当为76±0.5mm，外包装应当明显标出用以识别的产品名称、重量、规格等信息。</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（三）用于交割的双胶纸纤维组织应均匀，纸面应平整，不应有褶子、皱纹、残缺、破洞、透光点、裂口、各种斑点、砂子、硬质块、明显毛布痕、鱼鳞斑、透射光可见的针孔及掉粉、掉毛现象。</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（四）用于交割的同一检验批次的双胶纸应色泽一致，不应有明显差别，同批纸的色差ΔE应不大于2.0。用于交割的双胶纸，每卷断头应不超过1个。接头处应粘牢，且接头处应有明显标志。</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交割商品必备单证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（一）国产商品：应当提供交易所指定检验机构出具的检验证书等材料。</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（二）进口商品：应当提供交易所指定检验机构出具的检验证书、与实物一致的进口货物报关单、海关代征增值税专用缴款书、提单、产品质量证明等材料，经交易所审定合格为有效。</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十八</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溢短</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kern w:val="0"/>
          <w:sz w:val="30"/>
          <w:szCs w:val="30"/>
        </w:rPr>
        <w:t>双胶纸交割以包装标识重量计重，每一标准仓单的溢短不超过±</w:t>
      </w:r>
      <w:r>
        <w:rPr>
          <w:rFonts w:hint="eastAsia" w:ascii="Times New Roman" w:hAnsi="Times New Roman" w:eastAsia="方正仿宋简体"/>
          <w:kern w:val="0"/>
          <w:sz w:val="30"/>
          <w:szCs w:val="30"/>
        </w:rPr>
        <w:t>1.5</w:t>
      </w:r>
      <w:r>
        <w:rPr>
          <w:rFonts w:ascii="Times New Roman" w:hAnsi="Times New Roman" w:eastAsia="方正仿宋简体"/>
          <w:kern w:val="0"/>
          <w:sz w:val="30"/>
          <w:szCs w:val="30"/>
        </w:rPr>
        <w:t>%。每一标准仓单应当载明重量和卷数。</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第十九条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胶版印刷纸期货合约的交割单位为每一标准仓单</w:t>
      </w:r>
      <w:r>
        <w:rPr>
          <w:rFonts w:hint="eastAsia" w:ascii="Times New Roman" w:hAnsi="Times New Roman" w:eastAsia="方正仿宋简体"/>
          <w:kern w:val="0"/>
          <w:sz w:val="30"/>
          <w:szCs w:val="30"/>
        </w:rPr>
        <w:t>40</w:t>
      </w:r>
      <w:r>
        <w:rPr>
          <w:rFonts w:ascii="Times New Roman" w:hAnsi="Times New Roman" w:eastAsia="方正仿宋简体"/>
          <w:kern w:val="0"/>
          <w:sz w:val="30"/>
          <w:szCs w:val="30"/>
        </w:rPr>
        <w:t>吨，交割应当以每一标准仓单的整数倍交割。</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第二十条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胶版印刷纸期货合约的交割日期为最后交易日后连续二个工作日。</w:t>
      </w:r>
    </w:p>
    <w:p>
      <w:pPr>
        <w:autoSpaceDE w:val="0"/>
        <w:autoSpaceDN w:val="0"/>
        <w:adjustRightInd w:val="0"/>
        <w:spacing w:line="560" w:lineRule="exact"/>
        <w:ind w:firstLine="601"/>
        <w:rPr>
          <w:rFonts w:ascii="Times New Roman" w:hAnsi="Times New Roman" w:eastAsia="方正仿宋简体"/>
          <w:sz w:val="30"/>
          <w:szCs w:val="30"/>
        </w:rPr>
      </w:pPr>
      <w:r>
        <w:rPr>
          <w:rFonts w:ascii="Times New Roman" w:hAnsi="Times New Roman" w:eastAsia="方正仿宋简体"/>
          <w:b/>
          <w:sz w:val="30"/>
          <w:szCs w:val="30"/>
        </w:rPr>
        <w:t>第</w:t>
      </w:r>
      <w:r>
        <w:rPr>
          <w:rFonts w:ascii="Times New Roman" w:hAnsi="Times New Roman" w:eastAsia="方正仿宋简体"/>
          <w:b/>
          <w:kern w:val="0"/>
          <w:sz w:val="30"/>
          <w:szCs w:val="30"/>
        </w:rPr>
        <w:t>二十一</w:t>
      </w:r>
      <w:r>
        <w:rPr>
          <w:rFonts w:ascii="Times New Roman" w:hAnsi="Times New Roman" w:eastAsia="方正仿宋简体"/>
          <w:b/>
          <w:sz w:val="30"/>
          <w:szCs w:val="30"/>
        </w:rPr>
        <w:t>条</w:t>
      </w:r>
      <w:r>
        <w:rPr>
          <w:rFonts w:hint="eastAsia" w:ascii="Times New Roman" w:hAnsi="Times New Roman" w:eastAsia="方正仿宋简体"/>
          <w:b/>
          <w:sz w:val="30"/>
          <w:szCs w:val="30"/>
        </w:rPr>
        <w:t xml:space="preserve"> </w:t>
      </w:r>
      <w:r>
        <w:rPr>
          <w:rFonts w:hint="eastAsia" w:ascii="Times New Roman" w:hAnsi="Times New Roman" w:eastAsia="方正仿宋简体"/>
          <w:kern w:val="0"/>
          <w:sz w:val="30"/>
          <w:szCs w:val="30"/>
        </w:rPr>
        <w:t>胶版印刷纸期货合约交割结算的基准价为该合约最后5个有成交交易日的结算价的算术平均值。</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交割地点：交易所交割仓库、交割厂库，由交易所另行公告。</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第二十三条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期转现使用标准仓单并通过交易所结算发生双胶纸交割实物质量纠纷的，买方应当在货款和标准仓单交换日后的25天内提出质量异议申请，并应当同时提供交易所指定检验机构出具的质量鉴定结论。</w:t>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第二节 仓库交割</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二十四</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到库双胶纸应该包装完整、清洁，交割仓库在入库验收时应当对整批交割商品进行检查，如有影响使用的褶子、孔眼、残缺、破洞等外观纸病，或发现有受潮、污染严重、外包装破损严重等情况，予以拒收，不得用于交割。</w:t>
      </w:r>
    </w:p>
    <w:p>
      <w:pPr>
        <w:autoSpaceDE w:val="0"/>
        <w:autoSpaceDN w:val="0"/>
        <w:adjustRightInd w:val="0"/>
        <w:spacing w:line="560" w:lineRule="exact"/>
        <w:ind w:firstLine="601"/>
        <w:rPr>
          <w:rFonts w:ascii="Times New Roman" w:hAnsi="Times New Roman" w:eastAsia="方正仿宋简体"/>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二十五</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用于交割的双胶纸，每一标准仓单的标的实物应当按货位堆放，以</w:t>
      </w:r>
      <w:r>
        <w:rPr>
          <w:rFonts w:hint="eastAsia" w:ascii="Times New Roman" w:hAnsi="Times New Roman" w:eastAsia="方正仿宋简体"/>
          <w:kern w:val="0"/>
          <w:sz w:val="30"/>
          <w:szCs w:val="30"/>
        </w:rPr>
        <w:t>120</w:t>
      </w:r>
      <w:r>
        <w:rPr>
          <w:rFonts w:ascii="Times New Roman" w:hAnsi="Times New Roman" w:eastAsia="方正仿宋简体"/>
          <w:kern w:val="0"/>
          <w:sz w:val="30"/>
          <w:szCs w:val="30"/>
        </w:rPr>
        <w:t>吨为一个堆放货位。</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入出库检验</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到库双胶纸应当由交易所指定检验机构进行品质检验，品质检验以指定检验机构检验报告为准，品质检验结果应当符合交易所规定的质量标准才能生成标准仓单。货主应当确保入库商品符合交易所规定的质量标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（二）品质检验为抽样检验，抽样地点应当在交割仓库内，严禁在车站、码头等运输途中抽样。以</w:t>
      </w:r>
      <w:r>
        <w:rPr>
          <w:rFonts w:hint="eastAsia" w:ascii="Times New Roman" w:hAnsi="Times New Roman" w:eastAsia="方正仿宋简体"/>
          <w:sz w:val="30"/>
          <w:szCs w:val="30"/>
        </w:rPr>
        <w:t>120</w:t>
      </w:r>
      <w:r>
        <w:rPr>
          <w:rFonts w:ascii="Times New Roman" w:hAnsi="Times New Roman" w:eastAsia="方正仿宋简体"/>
          <w:sz w:val="30"/>
          <w:szCs w:val="30"/>
        </w:rPr>
        <w:t>吨以下（包括</w:t>
      </w:r>
      <w:r>
        <w:rPr>
          <w:rFonts w:hint="eastAsia" w:ascii="Times New Roman" w:hAnsi="Times New Roman" w:eastAsia="方正仿宋简体"/>
          <w:sz w:val="30"/>
          <w:szCs w:val="30"/>
        </w:rPr>
        <w:t>120</w:t>
      </w:r>
      <w:r>
        <w:rPr>
          <w:rFonts w:ascii="Times New Roman" w:hAnsi="Times New Roman" w:eastAsia="方正仿宋简体"/>
          <w:sz w:val="30"/>
          <w:szCs w:val="30"/>
        </w:rPr>
        <w:t>吨）为一个检验批次，超过</w:t>
      </w:r>
      <w:r>
        <w:rPr>
          <w:rFonts w:hint="eastAsia" w:ascii="Times New Roman" w:hAnsi="Times New Roman" w:eastAsia="方正仿宋简体"/>
          <w:sz w:val="30"/>
          <w:szCs w:val="30"/>
        </w:rPr>
        <w:t>120</w:t>
      </w:r>
      <w:r>
        <w:rPr>
          <w:rFonts w:ascii="Times New Roman" w:hAnsi="Times New Roman" w:eastAsia="方正仿宋简体"/>
          <w:sz w:val="30"/>
          <w:szCs w:val="30"/>
        </w:rPr>
        <w:t>吨应当分若干批次检验。每一检验批次的双胶纸应当是同一生产企业、同一品牌、同一定量，并且生产日期应当不超过连续15日的商品所组成，以最早日期作为该检验批次的生产日期。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（三）交割</w:t>
      </w:r>
      <w:r>
        <w:rPr>
          <w:rFonts w:hint="eastAsia" w:ascii="Times New Roman" w:hAnsi="Times New Roman" w:eastAsia="方正仿宋简体"/>
          <w:sz w:val="30"/>
          <w:szCs w:val="30"/>
        </w:rPr>
        <w:t>仓</w:t>
      </w:r>
      <w:r>
        <w:rPr>
          <w:rFonts w:ascii="Times New Roman" w:hAnsi="Times New Roman" w:eastAsia="方正仿宋简体"/>
          <w:sz w:val="30"/>
          <w:szCs w:val="30"/>
        </w:rPr>
        <w:t>库应当配合指定检验机构的检验工作，并核定双胶纸入出库数（重）量。</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二十七</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仓库标准仓单有效期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kern w:val="0"/>
          <w:sz w:val="30"/>
          <w:szCs w:val="30"/>
        </w:rPr>
        <w:t>（一）</w:t>
      </w:r>
      <w:r>
        <w:rPr>
          <w:rFonts w:ascii="Times New Roman" w:hAnsi="Times New Roman" w:eastAsia="方正仿宋简体"/>
          <w:sz w:val="30"/>
          <w:szCs w:val="30"/>
        </w:rPr>
        <w:t>用于实物交割的国产双胶纸</w:t>
      </w:r>
      <w:r>
        <w:rPr>
          <w:rFonts w:hint="eastAsia" w:ascii="Times New Roman" w:hAnsi="Times New Roman" w:eastAsia="方正仿宋简体"/>
          <w:sz w:val="30"/>
          <w:szCs w:val="30"/>
        </w:rPr>
        <w:t>：</w:t>
      </w:r>
      <w:r>
        <w:rPr>
          <w:rFonts w:ascii="Times New Roman" w:hAnsi="Times New Roman" w:eastAsia="方正仿宋简体"/>
          <w:sz w:val="30"/>
          <w:szCs w:val="30"/>
        </w:rPr>
        <w:t>应当在生产日期起三个月内入库，生产日期在6月30日（含该日）之前的，标准仓单有效期为当年的12月31日；生产日期在7月1日（含该日）之后的，标准仓单有效期为第二年的6月30日，超过期限的转作现货并注销。</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kern w:val="0"/>
          <w:sz w:val="30"/>
          <w:szCs w:val="30"/>
        </w:rPr>
        <w:t>（二）用于实物交割的进口双胶纸：应当在到港日期起三个月内入库，到港日期在6月30日（含该日）之前的，标准仓单有效期为当年的12月31日；到港日期在7月1日（含该日）之后的，标准仓单有效期为第二年的6月30日，超过期限的转作现货并注销。</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w:t>
      </w:r>
      <w:r>
        <w:rPr>
          <w:rFonts w:ascii="Times New Roman" w:hAnsi="Times New Roman" w:eastAsia="方正仿宋简体"/>
          <w:b/>
          <w:kern w:val="0"/>
          <w:sz w:val="30"/>
          <w:szCs w:val="30"/>
        </w:rPr>
        <w:t>二十八</w:t>
      </w:r>
      <w:r>
        <w:rPr>
          <w:rFonts w:ascii="Times New Roman" w:hAnsi="Times New Roman" w:eastAsia="方正仿宋简体"/>
          <w:b/>
          <w:sz w:val="30"/>
          <w:szCs w:val="30"/>
        </w:rPr>
        <w:t>条</w:t>
      </w:r>
      <w:r>
        <w:rPr>
          <w:rFonts w:hint="eastAsia" w:ascii="Times New Roman" w:hAnsi="Times New Roman" w:eastAsia="方正仿宋简体"/>
          <w:b/>
          <w:sz w:val="30"/>
          <w:szCs w:val="30"/>
        </w:rPr>
        <w:t xml:space="preserve"> </w:t>
      </w:r>
      <w:r>
        <w:rPr>
          <w:rFonts w:ascii="Times New Roman" w:hAnsi="Times New Roman" w:eastAsia="方正仿宋简体"/>
          <w:kern w:val="0"/>
          <w:sz w:val="30"/>
          <w:szCs w:val="30"/>
        </w:rPr>
        <w:t>实物交割完成后，若买方对交割商品的质量、数量有异议的（有异议的</w:t>
      </w:r>
      <w:r>
        <w:rPr>
          <w:rFonts w:ascii="Times New Roman" w:hAnsi="Times New Roman" w:eastAsia="方正仿宋简体"/>
          <w:sz w:val="30"/>
          <w:szCs w:val="30"/>
        </w:rPr>
        <w:t>双胶纸</w:t>
      </w:r>
      <w:r>
        <w:rPr>
          <w:rFonts w:ascii="Times New Roman" w:hAnsi="Times New Roman" w:eastAsia="方正仿宋简体"/>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r>
        <w:rPr>
          <w:rFonts w:ascii="Times New Roman" w:hAnsi="Times New Roman" w:eastAsia="方正仿宋简体"/>
          <w:kern w:val="0"/>
          <w:sz w:val="30"/>
          <w:szCs w:val="30"/>
        </w:rPr>
        <w:tab/>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第三节</w:t>
      </w:r>
      <w:r>
        <w:rPr>
          <w:rFonts w:hint="eastAsia" w:ascii="Times New Roman" w:hAnsi="Times New Roman" w:eastAsia="方正仿宋简体"/>
          <w:b/>
          <w:sz w:val="30"/>
          <w:szCs w:val="30"/>
        </w:rPr>
        <w:t xml:space="preserve"> </w:t>
      </w:r>
      <w:r>
        <w:rPr>
          <w:rFonts w:ascii="Times New Roman" w:hAnsi="Times New Roman" w:eastAsia="方正仿宋简体"/>
          <w:b/>
          <w:sz w:val="30"/>
          <w:szCs w:val="30"/>
        </w:rPr>
        <w:t>厂库交割</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申请</w:t>
      </w:r>
    </w:p>
    <w:p>
      <w:pPr>
        <w:spacing w:line="560" w:lineRule="exact"/>
        <w:ind w:firstLine="600" w:firstLineChars="200"/>
        <w:rPr>
          <w:rFonts w:ascii="Times New Roman" w:hAnsi="Times New Roman" w:eastAsia="方正仿宋简体"/>
          <w:b/>
          <w:sz w:val="30"/>
          <w:szCs w:val="30"/>
          <w:shd w:val="pct10" w:color="auto" w:fill="FFFFFF"/>
        </w:rPr>
      </w:pPr>
      <w:r>
        <w:rPr>
          <w:rFonts w:ascii="Times New Roman" w:hAnsi="Times New Roman" w:eastAsia="方正仿宋简体"/>
          <w:sz w:val="30"/>
          <w:szCs w:val="30"/>
        </w:rPr>
        <w:t>厂库签发厂库标准仓单前，需向交易所提交厂库标准仓单签发预报。预报内容包括品种、会员单位、货主名称、拟申请签发仓单数量、品牌和提货地点等。</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厂库标准仓单的交割有效期为厂库标准仓单生成之日起12个月，厂库标准仓单超过交割有效期不得用于期货交割。货主应当在厂库标准仓单有效期届满前申请提货或者转为现货提单，并注销厂库标准仓单。厂库标准仓单超过有效期的，对应商品转为现货，厂库标准仓单自动注销。提货方式由厂库与货主另行协商确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提货申请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货主应在拟提货月前一月的20日之前通过标准仓单管理系统向厂库提交提货申请，申请内容包括定量、宽度、数量、拟提货日、提货方式、提货计划（每日提货量）、提货人身份证明、联系方式等相关内容。</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（二）厂库在货主提交提货申请后的三个工作日内，参照货主提交的定量、宽度、提货日、提货计划等要求，确认货主的提货申请。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三个工作日内，向货主提供一个可供选择的提货时间范围和发货计划（每日发货量）。货主如无异议的，可选择并确定其中一天为提货日，并确定发货计划。如有异议的，可重新和厂库协商直至双方确定一致的提货日和发货计划。如协商不成的，厂库应该按申请提货日先后次序发货，同一申请提货日，按申请提交先后排序。 </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出库商品生产日期和到港日期的规定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出库国产双胶纸的生产日期应在货主和厂库之间已经确定的提货日之前三个月内。</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出库进口双胶纸的到港日期应在货主和厂库之间已经确定的提货日之前三个月内。</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溢短结算</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出库商品重量以出库商品包装标识重量计重。</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应按约定的提货日和发货计划到厂库提货。过了提货日但在约定的提货日后二十五日内（含第二十五日）到厂库提货，或因非厂库过错的原因而无法按约定的日发货计划提货，厂库仍应按照胶版印刷纸期货合约规定的质量标准承担有关商品质量的责任，并按照当时各货主的提货情况统一安排发货计划，直至全部发完。货主应向厂库支付滞纳金。</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滞纳金金额=2元/吨•天×应提而未提的商品数量×该批商品的滞留天数</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对因货主原因而造成发货延迟的处理，如双方约定另行协商处理，则按双方协商而定。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货主未在约定的提货日后二十五日内（含第二十五日）到厂库提货，厂库标准仓单被注销，货主须向厂库支付滞纳金，对应商品转为现货，具体提货事宜由双方自行协商。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滞纳金金额=35元/吨×应提而未提的商品数量</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货主在提货日到库提货，厂库未按约定的发货计划发货，但在约定的提货日后二十五日内（含第二十五日）完成了相应商品的发货，厂库应向货主支付赔偿金。</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赔偿金金额=50元/吨×按日发货计划应发而未发的商品数量</w:t>
      </w:r>
    </w:p>
    <w:p>
      <w:pPr>
        <w:spacing w:line="560" w:lineRule="exact"/>
        <w:ind w:firstLine="601"/>
        <w:rPr>
          <w:rFonts w:ascii="Times New Roman" w:hAnsi="Times New Roman" w:eastAsia="方正仿宋简体"/>
          <w:sz w:val="30"/>
          <w:szCs w:val="30"/>
        </w:rPr>
      </w:pPr>
      <w:r>
        <w:rPr>
          <w:rFonts w:ascii="Times New Roman" w:hAnsi="Times New Roman" w:eastAsia="方正仿宋简体"/>
          <w:b/>
          <w:sz w:val="30"/>
          <w:szCs w:val="30"/>
        </w:rPr>
        <w:t>第三十七条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厂库在约定的提货日后二十五日内（含第二十五日）未完成按日发货计划相应商品的发货，货主可做如下选择：</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（一）货主在约定提货日后的第二十五日向厂库提出自约定提货日后的第二十六日起，终止接受厂库应发而未发的剩余商品，厂库应当向货主返还货款并支付追加赔偿金。</w:t>
      </w:r>
    </w:p>
    <w:p>
      <w:pPr>
        <w:spacing w:line="560" w:lineRule="exact"/>
        <w:ind w:firstLine="601"/>
        <w:rPr>
          <w:rFonts w:ascii="Times New Roman" w:hAnsi="Times New Roman" w:eastAsia="方正仿宋简体"/>
          <w:sz w:val="30"/>
          <w:szCs w:val="30"/>
        </w:rPr>
      </w:pPr>
      <w:r>
        <w:rPr>
          <w:rFonts w:ascii="Times New Roman" w:hAnsi="Times New Roman" w:eastAsia="方正仿宋简体"/>
          <w:sz w:val="30"/>
          <w:szCs w:val="30"/>
        </w:rPr>
        <w:t xml:space="preserve">返还货款和追加赔偿金的金额=赔偿结算价×应发而未发的商品数量×120% </w:t>
      </w:r>
    </w:p>
    <w:p>
      <w:pPr>
        <w:spacing w:line="560" w:lineRule="exact"/>
        <w:ind w:firstLine="601"/>
        <w:rPr>
          <w:rFonts w:ascii="Times New Roman" w:hAnsi="Times New Roman" w:eastAsia="方正仿宋简体"/>
          <w:sz w:val="30"/>
          <w:szCs w:val="30"/>
        </w:rPr>
      </w:pPr>
      <w:r>
        <w:rPr>
          <w:rFonts w:ascii="Times New Roman" w:hAnsi="Times New Roman" w:eastAsia="方正仿宋简体"/>
          <w:sz w:val="30"/>
          <w:szCs w:val="30"/>
        </w:rPr>
        <w:t>赔偿结算价为约定提货日后的第二十六日前一交易日交易所挂牌交易的最近月份对应的期货合约的结算价。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（二）货主在约定提货日后的第二十五日未向厂库提出终止接受厂库应发而未发的剩余商品，则剩余商品具体提货事宜由双方自行协商。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（一）动用厂库提供的担保方式支付；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（二）交易所代为垫付，并通过包括法律程序在内的其他手段向厂库追索。</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当货主发生第三十四条、第三十五条中的违约行为时，首先由货主直接向厂库支付滞纳金。货主未支付的或支付数额不足的，厂库可通过包括法律程序在内的其他手段向货主追索。</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bCs/>
          <w:sz w:val="30"/>
          <w:szCs w:val="30"/>
        </w:rPr>
        <w:t>第四十一条</w:t>
      </w:r>
      <w:r>
        <w:rPr>
          <w:rFonts w:hint="eastAsia" w:ascii="Times New Roman" w:hAnsi="Times New Roman" w:eastAsia="方正仿宋简体"/>
          <w:b/>
          <w:bCs/>
          <w:sz w:val="30"/>
          <w:szCs w:val="30"/>
        </w:rPr>
        <w:t xml:space="preserve"> </w:t>
      </w:r>
      <w:r>
        <w:rPr>
          <w:rFonts w:ascii="Times New Roman" w:hAnsi="Times New Roman" w:eastAsia="方正仿宋简体"/>
          <w:sz w:val="30"/>
          <w:szCs w:val="30"/>
        </w:rPr>
        <w:t>厂库和货主经双方协商同意，可以在提交提货申请的时候选择协商提货的方式，由双方另行确定发货时间和发货计划，厂库标准仓单被注销，视同转为现货，不再按本办法中的有关规定办理。但双方应保留好相关协议。</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质量争议处理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若提货方对交割商品的质量有异议的，须在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第四章 风险管理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胶版印刷纸期货合约的最低交易保证金为合约价值的5%。</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第四十四条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胶版印刷纸期货合约上市运行不同阶段的交易保证金收取标准为：</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5"/>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交易时间段</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胶版印刷纸交易保证金比例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合约挂牌之日起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交割月前第一月的第一个交易日起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交割月份的第一个交易日起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最后交易日前二个交易日起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kern w:val="0"/>
                <w:sz w:val="24"/>
                <w:szCs w:val="24"/>
              </w:rPr>
              <w:t>20%</w:t>
            </w:r>
          </w:p>
        </w:tc>
      </w:tr>
    </w:tbl>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胶版印刷纸期货合约涨跌停板幅度为上一交易日结算价±4%。</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胶版印刷纸期货合约在不同时期的限仓比例和限仓数额具体规定如下：</w:t>
      </w:r>
    </w:p>
    <w:p>
      <w:pPr>
        <w:spacing w:line="560" w:lineRule="exact"/>
        <w:ind w:firstLine="480" w:firstLineChars="200"/>
        <w:rPr>
          <w:rFonts w:ascii="Times New Roman" w:hAnsi="Times New Roman" w:eastAsia="方正仿宋简体"/>
          <w:sz w:val="30"/>
          <w:szCs w:val="30"/>
        </w:rPr>
      </w:pPr>
      <w:r>
        <w:rPr>
          <w:rFonts w:ascii="Times New Roman" w:hAnsi="Times New Roman" w:eastAsia="方正仿宋简体"/>
          <w:bCs/>
          <w:color w:val="000000"/>
          <w:sz w:val="24"/>
        </w:rPr>
        <w:t>（单位：手）</w:t>
      </w:r>
    </w:p>
    <w:tbl>
      <w:tblPr>
        <w:tblStyle w:val="47"/>
        <w:tblW w:w="4998" w:type="pct"/>
        <w:tblInd w:w="0" w:type="dxa"/>
        <w:tblLayout w:type="autofit"/>
        <w:tblCellMar>
          <w:top w:w="0" w:type="dxa"/>
          <w:left w:w="0" w:type="dxa"/>
          <w:bottom w:w="0" w:type="dxa"/>
          <w:right w:w="0" w:type="dxa"/>
        </w:tblCellMar>
      </w:tblPr>
      <w:tblGrid>
        <w:gridCol w:w="1256"/>
        <w:gridCol w:w="1394"/>
        <w:gridCol w:w="919"/>
        <w:gridCol w:w="839"/>
        <w:gridCol w:w="978"/>
        <w:gridCol w:w="981"/>
        <w:gridCol w:w="978"/>
        <w:gridCol w:w="978"/>
      </w:tblGrid>
      <w:tr>
        <w:tblPrEx>
          <w:tblCellMar>
            <w:top w:w="0" w:type="dxa"/>
            <w:left w:w="0" w:type="dxa"/>
            <w:bottom w:w="0" w:type="dxa"/>
            <w:right w:w="0" w:type="dxa"/>
          </w:tblCellMar>
        </w:tblPrEx>
        <w:trPr>
          <w:trHeight w:val="660"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品种</w:t>
            </w:r>
          </w:p>
        </w:tc>
        <w:tc>
          <w:tcPr>
            <w:tcW w:w="1893"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合约挂牌至</w:t>
            </w:r>
          </w:p>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交割月前第二月的最后一个交易日</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交割月前第一月</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4"/>
                <w:szCs w:val="24"/>
              </w:rPr>
            </w:pPr>
            <w:r>
              <w:rPr>
                <w:rFonts w:ascii="Times New Roman" w:hAnsi="Times New Roman" w:eastAsia="方正仿宋简体"/>
                <w:b/>
                <w:bCs/>
                <w:sz w:val="24"/>
                <w:szCs w:val="24"/>
              </w:rPr>
              <w:t>交割月份</w:t>
            </w:r>
          </w:p>
        </w:tc>
      </w:tr>
      <w:tr>
        <w:tblPrEx>
          <w:tblCellMar>
            <w:top w:w="0" w:type="dxa"/>
            <w:left w:w="0" w:type="dxa"/>
            <w:bottom w:w="0" w:type="dxa"/>
            <w:right w:w="0" w:type="dxa"/>
          </w:tblCellMar>
        </w:tblPrEx>
        <w:trPr>
          <w:trHeight w:val="660" w:hRule="atLeast"/>
        </w:trPr>
        <w:tc>
          <w:tcPr>
            <w:tcW w:w="75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
                <w:bCs/>
                <w:sz w:val="24"/>
                <w:szCs w:val="24"/>
              </w:rPr>
            </w:pP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某一期货合约</w:t>
            </w:r>
          </w:p>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持仓量</w:t>
            </w: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限仓比例（%）</w:t>
            </w:r>
          </w:p>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和限仓数额（手）</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限仓数额（手）</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限仓数额（手）</w:t>
            </w:r>
          </w:p>
        </w:tc>
      </w:tr>
      <w:tr>
        <w:tblPrEx>
          <w:tblCellMar>
            <w:top w:w="0" w:type="dxa"/>
            <w:left w:w="0" w:type="dxa"/>
            <w:bottom w:w="0" w:type="dxa"/>
            <w:right w:w="0" w:type="dxa"/>
          </w:tblCellMar>
        </w:tblPrEx>
        <w:trPr>
          <w:trHeight w:val="568" w:hRule="atLeast"/>
        </w:trPr>
        <w:tc>
          <w:tcPr>
            <w:tcW w:w="75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
                <w:bCs/>
                <w:sz w:val="24"/>
                <w:szCs w:val="24"/>
              </w:rPr>
            </w:pPr>
          </w:p>
        </w:tc>
        <w:tc>
          <w:tcPr>
            <w:tcW w:w="837" w:type="pct"/>
            <w:vMerge w:val="continue"/>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非期货公司会员</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客户</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非期货公司会员</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客户</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非期货公司会员</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客户</w:t>
            </w:r>
          </w:p>
        </w:tc>
      </w:tr>
      <w:tr>
        <w:tblPrEx>
          <w:tblCellMar>
            <w:top w:w="0" w:type="dxa"/>
            <w:left w:w="0" w:type="dxa"/>
            <w:bottom w:w="0" w:type="dxa"/>
            <w:right w:w="0" w:type="dxa"/>
          </w:tblCellMar>
        </w:tblPrEx>
        <w:trPr>
          <w:trHeight w:val="330"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
                <w:bCs/>
                <w:sz w:val="24"/>
                <w:szCs w:val="24"/>
              </w:rPr>
              <w:t>胶版印刷纸</w:t>
            </w:r>
          </w:p>
        </w:tc>
        <w:tc>
          <w:tcPr>
            <w:tcW w:w="837"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tcPr>
          <w:p>
            <w:pPr>
              <w:spacing w:line="560" w:lineRule="exact"/>
              <w:jc w:val="center"/>
              <w:rPr>
                <w:rFonts w:ascii="Times New Roman" w:hAnsi="Times New Roman" w:eastAsia="方正仿宋简体"/>
                <w:bCs/>
                <w:sz w:val="24"/>
                <w:szCs w:val="24"/>
              </w:rPr>
            </w:pPr>
            <w:r>
              <w:rPr>
                <w:rFonts w:hint="eastAsia" w:ascii="Times New Roman" w:hAnsi="Times New Roman" w:eastAsia="方正仿宋简体"/>
                <w:bCs/>
                <w:sz w:val="24"/>
                <w:szCs w:val="24"/>
              </w:rPr>
              <w:t>≥2.</w:t>
            </w:r>
            <w:r>
              <w:rPr>
                <w:rFonts w:ascii="Times New Roman" w:hAnsi="Times New Roman" w:eastAsia="方正仿宋简体"/>
                <w:bCs/>
                <w:sz w:val="24"/>
                <w:szCs w:val="24"/>
              </w:rPr>
              <w:t>5</w:t>
            </w:r>
            <w:r>
              <w:rPr>
                <w:rFonts w:hint="eastAsia" w:ascii="Times New Roman" w:hAnsi="Times New Roman" w:eastAsia="方正仿宋简体"/>
                <w:bCs/>
                <w:sz w:val="24"/>
                <w:szCs w:val="24"/>
              </w:rPr>
              <w:t>万手</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500</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500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100</w:t>
            </w:r>
          </w:p>
        </w:tc>
      </w:tr>
      <w:tr>
        <w:tblPrEx>
          <w:tblCellMar>
            <w:top w:w="0" w:type="dxa"/>
            <w:left w:w="0" w:type="dxa"/>
            <w:bottom w:w="0" w:type="dxa"/>
            <w:right w:w="0" w:type="dxa"/>
          </w:tblCellMar>
        </w:tblPrEx>
        <w:trPr>
          <w:trHeight w:val="330" w:hRule="atLeast"/>
        </w:trPr>
        <w:tc>
          <w:tcPr>
            <w:tcW w:w="75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&lt;2.5</w:t>
            </w:r>
            <w:r>
              <w:rPr>
                <w:rFonts w:hint="eastAsia" w:ascii="Times New Roman" w:hAnsi="Times New Roman" w:eastAsia="方正仿宋简体"/>
                <w:bCs/>
                <w:sz w:val="24"/>
                <w:szCs w:val="24"/>
              </w:rPr>
              <w:t>万手</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2500</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vAlign w:val="center"/>
          </w:tcPr>
          <w:p>
            <w:pPr>
              <w:spacing w:line="560" w:lineRule="exact"/>
              <w:jc w:val="center"/>
              <w:rPr>
                <w:rFonts w:ascii="Times New Roman" w:hAnsi="Times New Roman" w:eastAsia="方正仿宋简体"/>
                <w:bCs/>
                <w:sz w:val="24"/>
                <w:szCs w:val="24"/>
              </w:rPr>
            </w:pPr>
            <w:r>
              <w:rPr>
                <w:rFonts w:ascii="Times New Roman" w:hAnsi="Times New Roman" w:eastAsia="方正仿宋简体"/>
                <w:bCs/>
                <w:sz w:val="24"/>
                <w:szCs w:val="24"/>
              </w:rPr>
              <w:t>2500</w:t>
            </w: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89"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r>
    </w:tbl>
    <w:p>
      <w:pPr>
        <w:spacing w:line="560" w:lineRule="exact"/>
        <w:rPr>
          <w:rFonts w:ascii="Times New Roman" w:hAnsi="Times New Roman" w:eastAsia="方正仿宋简体"/>
          <w:bCs/>
          <w:sz w:val="24"/>
        </w:rPr>
      </w:pPr>
      <w:r>
        <w:rPr>
          <w:rFonts w:ascii="Times New Roman" w:hAnsi="Times New Roman" w:eastAsia="方正仿宋简体"/>
          <w:bCs/>
          <w:sz w:val="24"/>
        </w:rPr>
        <w:t>注：表中持仓量、限仓数额为单向计算。</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交易所对某一胶版印刷纸期货合约采取强制减仓的，其申报平仓数量、持仓盈利</w:t>
      </w:r>
      <w:r>
        <w:rPr>
          <w:rFonts w:hint="eastAsia" w:ascii="Times New Roman" w:hAnsi="Times New Roman" w:eastAsia="方正仿宋简体"/>
          <w:sz w:val="30"/>
          <w:szCs w:val="30"/>
        </w:rPr>
        <w:t>交易者（即客户、非期货公司会员，下同）</w:t>
      </w:r>
      <w:r>
        <w:rPr>
          <w:rFonts w:ascii="Times New Roman" w:hAnsi="Times New Roman" w:eastAsia="方正仿宋简体"/>
          <w:sz w:val="30"/>
          <w:szCs w:val="30"/>
        </w:rPr>
        <w:t>平仓范围以及平仓数量的分配原则及方法按照下列方法确定：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（一）申报平仓数量。在强制减仓基准日收市后，已在计算机系统中以涨跌停板价申报无法成交的，且</w:t>
      </w:r>
      <w:r>
        <w:rPr>
          <w:rFonts w:hint="eastAsia" w:ascii="Times New Roman" w:hAnsi="Times New Roman" w:eastAsia="方正仿宋简体"/>
          <w:sz w:val="30"/>
          <w:szCs w:val="30"/>
        </w:rPr>
        <w:t>交易者</w:t>
      </w:r>
      <w:r>
        <w:rPr>
          <w:rFonts w:ascii="Times New Roman" w:hAnsi="Times New Roman" w:eastAsia="方正仿宋简体"/>
          <w:sz w:val="30"/>
          <w:szCs w:val="30"/>
        </w:rPr>
        <w:t>该胶版印刷纸期货合约的单位净持仓亏损大于或者等于强制减仓基准日结算价8%的所有申报平仓数量的总和为平仓数量。</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（二）持仓盈利</w:t>
      </w:r>
      <w:r>
        <w:rPr>
          <w:rFonts w:hint="eastAsia" w:ascii="Times New Roman" w:hAnsi="Times New Roman" w:eastAsia="方正仿宋简体"/>
          <w:sz w:val="30"/>
          <w:szCs w:val="30"/>
        </w:rPr>
        <w:t>交易者</w:t>
      </w:r>
      <w:r>
        <w:rPr>
          <w:rFonts w:ascii="Times New Roman" w:hAnsi="Times New Roman" w:eastAsia="方正仿宋简体"/>
          <w:sz w:val="30"/>
          <w:szCs w:val="30"/>
        </w:rPr>
        <w:t>平仓范围。根据《上海期货交易所风险控制管理办法》所述方法计算的</w:t>
      </w:r>
      <w:r>
        <w:rPr>
          <w:rFonts w:hint="eastAsia" w:ascii="Times New Roman" w:hAnsi="Times New Roman" w:eastAsia="方正仿宋简体"/>
          <w:sz w:val="30"/>
          <w:szCs w:val="30"/>
        </w:rPr>
        <w:t>交易者</w:t>
      </w:r>
      <w:r>
        <w:rPr>
          <w:rFonts w:ascii="Times New Roman" w:hAnsi="Times New Roman" w:eastAsia="方正仿宋简体"/>
          <w:sz w:val="30"/>
          <w:szCs w:val="30"/>
        </w:rPr>
        <w:t>单位净持仓盈利的</w:t>
      </w:r>
      <w:r>
        <w:rPr>
          <w:rFonts w:hint="eastAsia" w:ascii="Times New Roman" w:hAnsi="Times New Roman" w:eastAsia="方正仿宋简体"/>
          <w:sz w:val="30"/>
          <w:szCs w:val="30"/>
        </w:rPr>
        <w:t>一般持仓</w:t>
      </w:r>
      <w:r>
        <w:rPr>
          <w:rFonts w:ascii="Times New Roman" w:hAnsi="Times New Roman" w:eastAsia="方正仿宋简体"/>
          <w:sz w:val="30"/>
          <w:szCs w:val="30"/>
        </w:rPr>
        <w:t>以及</w:t>
      </w:r>
      <w:r>
        <w:rPr>
          <w:rFonts w:hint="eastAsia" w:ascii="Times New Roman" w:hAnsi="Times New Roman" w:eastAsia="方正仿宋简体"/>
          <w:sz w:val="30"/>
          <w:szCs w:val="30"/>
        </w:rPr>
        <w:t>交易者</w:t>
      </w:r>
      <w:r>
        <w:rPr>
          <w:rFonts w:ascii="Times New Roman" w:hAnsi="Times New Roman" w:eastAsia="方正仿宋简体"/>
          <w:sz w:val="30"/>
          <w:szCs w:val="30"/>
        </w:rPr>
        <w:t>单位净持仓盈利大于或者等于强制减仓基准日结算价8%的</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w:t>
      </w:r>
      <w:r>
        <w:rPr>
          <w:rFonts w:ascii="Times New Roman" w:hAnsi="Times New Roman" w:eastAsia="方正仿宋简体"/>
          <w:sz w:val="30"/>
          <w:szCs w:val="30"/>
        </w:rPr>
        <w:t>持仓都列入平仓范围。</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（三）平仓数量的分配原则。在平仓范围内按盈利的大小和</w:t>
      </w:r>
      <w:r>
        <w:rPr>
          <w:rFonts w:hint="eastAsia" w:ascii="Times New Roman" w:hAnsi="Times New Roman" w:eastAsia="方正仿宋简体"/>
          <w:sz w:val="30"/>
          <w:szCs w:val="30"/>
        </w:rPr>
        <w:t>一般持仓</w:t>
      </w:r>
      <w:r>
        <w:rPr>
          <w:rFonts w:ascii="Times New Roman" w:hAnsi="Times New Roman" w:eastAsia="方正仿宋简体"/>
          <w:sz w:val="30"/>
          <w:szCs w:val="30"/>
        </w:rPr>
        <w:t>与</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交易持仓</w:t>
      </w:r>
      <w:r>
        <w:rPr>
          <w:rFonts w:ascii="Times New Roman" w:hAnsi="Times New Roman" w:eastAsia="方正仿宋简体"/>
          <w:sz w:val="30"/>
          <w:szCs w:val="30"/>
        </w:rPr>
        <w:t>的不同分成四级，逐级进行分配。首先分配给属平仓范围内单位净持仓盈利大于或者等于强制减仓基准日结算价8%的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持仓；其次分配给单位净持仓盈利大于或者等于强制减仓基准日结算价4%，小于8%的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持仓；再次分配给单位净持仓盈利小于强制减仓基准日结算价4%的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持仓；最后分配给单位净持仓盈利大于或者等于强制减仓基准日结算价8%的</w:t>
      </w:r>
      <w:r>
        <w:rPr>
          <w:rFonts w:hint="eastAsia" w:ascii="Times New Roman" w:hAnsi="Times New Roman" w:eastAsia="方正仿宋简体"/>
          <w:sz w:val="30"/>
          <w:szCs w:val="30"/>
        </w:rPr>
        <w:t>套期保值</w:t>
      </w:r>
      <w:r>
        <w:rPr>
          <w:rFonts w:ascii="Times New Roman" w:hAnsi="Times New Roman" w:eastAsia="方正仿宋简体"/>
          <w:sz w:val="30"/>
          <w:szCs w:val="30"/>
        </w:rPr>
        <w:t>交易持仓。上述各级分配比例均按申报平仓数量（剩余申报平仓数量）与各级可平仓的盈利持仓数量之比进行分配。</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（四）平仓数量的分配方法。盈利8%以上的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持仓数量大于或者等于申报平仓数量的，根据申报平仓数量与盈利8%以上的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持仓数量的比例，将申报平仓数量向盈利8%以上的</w:t>
      </w:r>
      <w:r>
        <w:rPr>
          <w:rFonts w:hint="eastAsia" w:ascii="Times New Roman" w:hAnsi="Times New Roman" w:eastAsia="方正仿宋简体"/>
          <w:sz w:val="30"/>
          <w:szCs w:val="30"/>
        </w:rPr>
        <w:t>一般持仓</w:t>
      </w:r>
      <w:r>
        <w:rPr>
          <w:rFonts w:ascii="Times New Roman" w:hAnsi="Times New Roman" w:eastAsia="方正仿宋简体"/>
          <w:sz w:val="30"/>
          <w:szCs w:val="30"/>
        </w:rPr>
        <w:t>分配实际平仓数量；盈利8%以上的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持仓数量小于申报平仓数量的，根据盈利8%以上的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持仓数量与申报平仓数量的比例，将盈利8%以上</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持仓数量向申报平仓</w:t>
      </w:r>
      <w:r>
        <w:rPr>
          <w:rFonts w:hint="eastAsia" w:ascii="Times New Roman" w:hAnsi="Times New Roman" w:eastAsia="方正仿宋简体"/>
          <w:sz w:val="30"/>
          <w:szCs w:val="30"/>
        </w:rPr>
        <w:t>交易者</w:t>
      </w:r>
      <w:r>
        <w:rPr>
          <w:rFonts w:ascii="Times New Roman" w:hAnsi="Times New Roman" w:eastAsia="方正仿宋简体"/>
          <w:sz w:val="30"/>
          <w:szCs w:val="30"/>
        </w:rPr>
        <w:t>分配实际平仓数量。再把剩余的申报平仓数量按上述的分配方法向盈利4%以上的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持仓分配；还有剩余的，再向盈利4%以下的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持仓分配；再有剩余的，再向盈利8%以上的</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w:t>
      </w:r>
      <w:r>
        <w:rPr>
          <w:rFonts w:ascii="Times New Roman" w:hAnsi="Times New Roman" w:eastAsia="方正仿宋简体"/>
          <w:sz w:val="30"/>
          <w:szCs w:val="30"/>
        </w:rPr>
        <w:t>持仓分配。还有剩余的不再分配。</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第五章 附则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本细则未规定的，按照交易所相关业务规则的规定执行。</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违反本细则规定的，交易所按照《上海期货交易所违规处理办法》的有关规定处理。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本细则的解释权属于上海期货交易所。</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第五十一条</w:t>
      </w:r>
      <w:r>
        <w:rPr>
          <w:rFonts w:hint="eastAsia" w:ascii="Times New Roman" w:hAnsi="Times New Roman"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r>
        <w:rPr>
          <w:rFonts w:ascii="Times New Roman" w:hAnsi="Times New Roman" w:eastAsia="方正仿宋简体"/>
          <w:sz w:val="30"/>
          <w:szCs w:val="30"/>
        </w:rPr>
        <w:t>。</w:t>
      </w:r>
    </w:p>
    <w:p>
      <w:pPr>
        <w:spacing w:line="560" w:lineRule="exact"/>
        <w:ind w:firstLine="600" w:firstLineChars="200"/>
        <w:rPr>
          <w:rFonts w:eastAsia="方正仿宋简体"/>
          <w:sz w:val="30"/>
          <w:szCs w:val="30"/>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BatangChe">
    <w:altName w:val="宋体"/>
    <w:panose1 w:val="02030609000101010101"/>
    <w:charset w:val="81"/>
    <w:family w:val="modern"/>
    <w:pitch w:val="default"/>
    <w:sig w:usb0="00000000" w:usb1="00000000" w:usb2="00000030" w:usb3="00000000" w:csb0="0008009F" w:csb1="00000000"/>
  </w:font>
  <w:font w:name="Calibri Light">
    <w:altName w:val="DejaVu Sans"/>
    <w:panose1 w:val="020F0302020204030204"/>
    <w:charset w:val="00"/>
    <w:family w:val="swiss"/>
    <w:pitch w:val="default"/>
    <w:sig w:usb0="00000000" w:usb1="00000000" w:usb2="00000000" w:usb3="00000000" w:csb0="0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FZDaBiaoSong-B06S">
    <w:panose1 w:val="02000000000000000000"/>
    <w:charset w:val="86"/>
    <w:family w:val="roman"/>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Batang">
    <w:altName w:val="宋体"/>
    <w:panose1 w:val="02030600000101010101"/>
    <w:charset w:val="81"/>
    <w:family w:val="roman"/>
    <w:pitch w:val="default"/>
    <w:sig w:usb0="00000000" w:usb1="00000000" w:usb2="00000030" w:usb3="00000000" w:csb0="0008009F" w:csb1="00000000"/>
  </w:font>
  <w:font w:name="Arial Unicode MS">
    <w:altName w:val="Times New Roman"/>
    <w:panose1 w:val="020B0604020202020204"/>
    <w:charset w:val="86"/>
    <w:family w:val="swiss"/>
    <w:pitch w:val="default"/>
    <w:sig w:usb0="00000000" w:usb1="00000000" w:usb2="0000003F" w:usb3="00000000" w:csb0="003F01FF" w:csb1="00000000"/>
  </w:font>
  <w:font w:name="方正仿宋简体">
    <w:panose1 w:val="02000000000000000000"/>
    <w:charset w:val="86"/>
    <w:family w:val="auto"/>
    <w:pitch w:val="default"/>
    <w:sig w:usb0="00000001" w:usb1="08000000" w:usb2="00000000" w:usb3="00000000" w:csb0="00040000" w:csb1="00000000"/>
  </w:font>
  <w:font w:name="Futura Hv">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Futura Bk">
    <w:altName w:val="DejaVu Math TeX Gyre"/>
    <w:panose1 w:val="00000000000000000000"/>
    <w:charset w:val="00"/>
    <w:family w:val="swiss"/>
    <w:pitch w:val="default"/>
    <w:sig w:usb0="00000000" w:usb1="00000000" w:usb2="00000000" w:usb3="00000000" w:csb0="0000009F" w:csb1="00000000"/>
  </w:font>
  <w:font w:name="MS Gothic">
    <w:altName w:val="宋体"/>
    <w:panose1 w:val="020B0609070205080204"/>
    <w:charset w:val="80"/>
    <w:family w:val="modern"/>
    <w:pitch w:val="default"/>
    <w:sig w:usb0="00000000" w:usb1="00000000" w:usb2="00000012" w:usb3="00000000" w:csb0="0002009F" w:csb1="0000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仿宋">
    <w:altName w:val="宋体"/>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E920A"/>
    <w:multiLevelType w:val="singleLevel"/>
    <w:tmpl w:val="A6BE920A"/>
    <w:lvl w:ilvl="0" w:tentative="0">
      <w:start w:val="3"/>
      <w:numFmt w:val="decimal"/>
      <w:suff w:val="space"/>
      <w:lvlText w:val="%1."/>
      <w:lvlJc w:val="left"/>
    </w:lvl>
  </w:abstractNum>
  <w:abstractNum w:abstractNumId="1">
    <w:nsid w:val="BF6372BC"/>
    <w:multiLevelType w:val="singleLevel"/>
    <w:tmpl w:val="BF6372BC"/>
    <w:lvl w:ilvl="0" w:tentative="0">
      <w:start w:val="1"/>
      <w:numFmt w:val="decimal"/>
      <w:suff w:val="space"/>
      <w:lvlText w:val="%1."/>
      <w:lvlJc w:val="left"/>
    </w:lvl>
  </w:abstractNum>
  <w:abstractNum w:abstractNumId="2">
    <w:nsid w:val="FFDBC5B1"/>
    <w:multiLevelType w:val="singleLevel"/>
    <w:tmpl w:val="FFDBC5B1"/>
    <w:lvl w:ilvl="0" w:tentative="0">
      <w:start w:val="4"/>
      <w:numFmt w:val="decimal"/>
      <w:suff w:val="space"/>
      <w:lvlText w:val="%1."/>
      <w:lvlJc w:val="left"/>
    </w:lvl>
  </w:abstractNum>
  <w:abstractNum w:abstractNumId="3">
    <w:nsid w:val="28F86C05"/>
    <w:multiLevelType w:val="multilevel"/>
    <w:tmpl w:val="28F86C05"/>
    <w:lvl w:ilvl="0" w:tentative="0">
      <w:start w:val="1"/>
      <w:numFmt w:val="decimal"/>
      <w:pStyle w:val="310"/>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4">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3"/>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5"/>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1"/>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9"/>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5">
    <w:nsid w:val="6AE222EB"/>
    <w:multiLevelType w:val="multilevel"/>
    <w:tmpl w:val="6AE222EB"/>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EC"/>
    <w:rsid w:val="00096874"/>
    <w:rsid w:val="000A369C"/>
    <w:rsid w:val="00217E74"/>
    <w:rsid w:val="00316154"/>
    <w:rsid w:val="00622A27"/>
    <w:rsid w:val="00710BF7"/>
    <w:rsid w:val="00722F86"/>
    <w:rsid w:val="00890555"/>
    <w:rsid w:val="009C0A49"/>
    <w:rsid w:val="00B17DAD"/>
    <w:rsid w:val="00C908EC"/>
    <w:rsid w:val="00E12597"/>
    <w:rsid w:val="00F0714E"/>
    <w:rsid w:val="00FD1EDB"/>
    <w:rsid w:val="0CFBB145"/>
    <w:rsid w:val="0E7F4A4E"/>
    <w:rsid w:val="0FED0449"/>
    <w:rsid w:val="12FB79C7"/>
    <w:rsid w:val="1B7FAB12"/>
    <w:rsid w:val="1CFBA41E"/>
    <w:rsid w:val="1DDFADEB"/>
    <w:rsid w:val="1E2747F8"/>
    <w:rsid w:val="1ECFE872"/>
    <w:rsid w:val="1EDDF77A"/>
    <w:rsid w:val="1F1F2951"/>
    <w:rsid w:val="2369E30F"/>
    <w:rsid w:val="2BBFCFDD"/>
    <w:rsid w:val="317AA6C8"/>
    <w:rsid w:val="35F2F2AE"/>
    <w:rsid w:val="37EFA170"/>
    <w:rsid w:val="387B7CBD"/>
    <w:rsid w:val="3BFE093C"/>
    <w:rsid w:val="3CBF75BD"/>
    <w:rsid w:val="3CF8C292"/>
    <w:rsid w:val="3DFA5050"/>
    <w:rsid w:val="3EFFECDB"/>
    <w:rsid w:val="3F375864"/>
    <w:rsid w:val="3F6F0140"/>
    <w:rsid w:val="3FBA8D75"/>
    <w:rsid w:val="3FDFB24B"/>
    <w:rsid w:val="3FEF3E21"/>
    <w:rsid w:val="3FFC07E8"/>
    <w:rsid w:val="44DF3160"/>
    <w:rsid w:val="46F70019"/>
    <w:rsid w:val="477B7985"/>
    <w:rsid w:val="47EE8EC6"/>
    <w:rsid w:val="47FD524F"/>
    <w:rsid w:val="4C1C2845"/>
    <w:rsid w:val="4DFB9FBC"/>
    <w:rsid w:val="4EF5069F"/>
    <w:rsid w:val="557EC7C6"/>
    <w:rsid w:val="55BA278D"/>
    <w:rsid w:val="55FF4A4B"/>
    <w:rsid w:val="57E34780"/>
    <w:rsid w:val="5BF7734B"/>
    <w:rsid w:val="5DD69FD7"/>
    <w:rsid w:val="5DF4742E"/>
    <w:rsid w:val="5EF7D224"/>
    <w:rsid w:val="5F2B13FD"/>
    <w:rsid w:val="5F86430A"/>
    <w:rsid w:val="5FABC6B8"/>
    <w:rsid w:val="5FDD3C6F"/>
    <w:rsid w:val="5FEBF391"/>
    <w:rsid w:val="5FF29832"/>
    <w:rsid w:val="5FFDE904"/>
    <w:rsid w:val="5FFFA2CC"/>
    <w:rsid w:val="63EE45DA"/>
    <w:rsid w:val="6AEB1D55"/>
    <w:rsid w:val="6AF319B4"/>
    <w:rsid w:val="6D2B1253"/>
    <w:rsid w:val="6DBDD558"/>
    <w:rsid w:val="6DDAA003"/>
    <w:rsid w:val="6E7E7513"/>
    <w:rsid w:val="6ED9C5F0"/>
    <w:rsid w:val="6EEA12ED"/>
    <w:rsid w:val="6EF624D7"/>
    <w:rsid w:val="6F3FE5CB"/>
    <w:rsid w:val="6F9721A6"/>
    <w:rsid w:val="6FF70173"/>
    <w:rsid w:val="6FFF9C10"/>
    <w:rsid w:val="727D9CA3"/>
    <w:rsid w:val="749F4424"/>
    <w:rsid w:val="74B6969A"/>
    <w:rsid w:val="765F139B"/>
    <w:rsid w:val="767F3456"/>
    <w:rsid w:val="777B692D"/>
    <w:rsid w:val="77BD490C"/>
    <w:rsid w:val="77DF2DB2"/>
    <w:rsid w:val="77EB9E26"/>
    <w:rsid w:val="77FF4CB7"/>
    <w:rsid w:val="79FB205C"/>
    <w:rsid w:val="7B37F640"/>
    <w:rsid w:val="7BBF35A4"/>
    <w:rsid w:val="7BE324DD"/>
    <w:rsid w:val="7BE881EC"/>
    <w:rsid w:val="7DBFEEA6"/>
    <w:rsid w:val="7DE30FA8"/>
    <w:rsid w:val="7DF7D386"/>
    <w:rsid w:val="7DF7F304"/>
    <w:rsid w:val="7DFBD39D"/>
    <w:rsid w:val="7E7B5D4F"/>
    <w:rsid w:val="7EBDE314"/>
    <w:rsid w:val="7EBF3355"/>
    <w:rsid w:val="7EF1CE67"/>
    <w:rsid w:val="7F9F3DC0"/>
    <w:rsid w:val="7FB7D015"/>
    <w:rsid w:val="7FDF8551"/>
    <w:rsid w:val="7FDFB57A"/>
    <w:rsid w:val="7FDFFCFD"/>
    <w:rsid w:val="7FF76072"/>
    <w:rsid w:val="7FF8A6DE"/>
    <w:rsid w:val="7FFA5DDA"/>
    <w:rsid w:val="7FFE2C19"/>
    <w:rsid w:val="7FFE3F09"/>
    <w:rsid w:val="7FFE4286"/>
    <w:rsid w:val="7FFEE5CD"/>
    <w:rsid w:val="7FFF1165"/>
    <w:rsid w:val="7FFF1DA7"/>
    <w:rsid w:val="7FFF2567"/>
    <w:rsid w:val="87CFBC07"/>
    <w:rsid w:val="959AA1A2"/>
    <w:rsid w:val="97FF6EEB"/>
    <w:rsid w:val="9B5982CC"/>
    <w:rsid w:val="9BCCA100"/>
    <w:rsid w:val="9BFB71DE"/>
    <w:rsid w:val="9BFFD404"/>
    <w:rsid w:val="AABF29CC"/>
    <w:rsid w:val="ABC92D38"/>
    <w:rsid w:val="ABDFE4D5"/>
    <w:rsid w:val="AE677AFC"/>
    <w:rsid w:val="AFF78E70"/>
    <w:rsid w:val="B3DF0629"/>
    <w:rsid w:val="B77FF6B5"/>
    <w:rsid w:val="B79E7324"/>
    <w:rsid w:val="B7FF44E8"/>
    <w:rsid w:val="BED7FF11"/>
    <w:rsid w:val="BEF3A487"/>
    <w:rsid w:val="BF3FC752"/>
    <w:rsid w:val="BF76027B"/>
    <w:rsid w:val="BF7762AA"/>
    <w:rsid w:val="BFAF0A04"/>
    <w:rsid w:val="BFAF1104"/>
    <w:rsid w:val="BFDEE789"/>
    <w:rsid w:val="C3BE3736"/>
    <w:rsid w:val="C3FF1EBE"/>
    <w:rsid w:val="CBFAF67C"/>
    <w:rsid w:val="CF57572D"/>
    <w:rsid w:val="CFEB0A06"/>
    <w:rsid w:val="CFF64A3D"/>
    <w:rsid w:val="CFFF8B76"/>
    <w:rsid w:val="D3D9821B"/>
    <w:rsid w:val="D64F42A6"/>
    <w:rsid w:val="D6FCE8FF"/>
    <w:rsid w:val="D77B93FC"/>
    <w:rsid w:val="D7AF2766"/>
    <w:rsid w:val="D7FB9168"/>
    <w:rsid w:val="DBF1595B"/>
    <w:rsid w:val="DCFEE776"/>
    <w:rsid w:val="DD73EF96"/>
    <w:rsid w:val="DEDF3527"/>
    <w:rsid w:val="DEF918DC"/>
    <w:rsid w:val="DFF76400"/>
    <w:rsid w:val="DFFC1A25"/>
    <w:rsid w:val="E73BE785"/>
    <w:rsid w:val="EDC260A9"/>
    <w:rsid w:val="EDFB3901"/>
    <w:rsid w:val="EECB32FA"/>
    <w:rsid w:val="EEEACB66"/>
    <w:rsid w:val="EF276328"/>
    <w:rsid w:val="EF5BA191"/>
    <w:rsid w:val="EFBB6B34"/>
    <w:rsid w:val="EFDB5D92"/>
    <w:rsid w:val="EFDFAB9D"/>
    <w:rsid w:val="EFFF330D"/>
    <w:rsid w:val="EFFF7807"/>
    <w:rsid w:val="F1D3D0AB"/>
    <w:rsid w:val="F3C71B12"/>
    <w:rsid w:val="F3F66D8E"/>
    <w:rsid w:val="F5FD2C9A"/>
    <w:rsid w:val="F66D0D3D"/>
    <w:rsid w:val="F67807FA"/>
    <w:rsid w:val="F767C88B"/>
    <w:rsid w:val="F776AC34"/>
    <w:rsid w:val="F9DB32C6"/>
    <w:rsid w:val="FB7DA56B"/>
    <w:rsid w:val="FB9F013B"/>
    <w:rsid w:val="FBDC6546"/>
    <w:rsid w:val="FBFB3214"/>
    <w:rsid w:val="FBFBC524"/>
    <w:rsid w:val="FBFD1DB9"/>
    <w:rsid w:val="FBFFD21E"/>
    <w:rsid w:val="FCE7F3FD"/>
    <w:rsid w:val="FCEFCB08"/>
    <w:rsid w:val="FD51137B"/>
    <w:rsid w:val="FD7F9EA8"/>
    <w:rsid w:val="FDB301A2"/>
    <w:rsid w:val="FDDF7031"/>
    <w:rsid w:val="FDF47E00"/>
    <w:rsid w:val="FDF5922C"/>
    <w:rsid w:val="FE6497A8"/>
    <w:rsid w:val="FE67ED2B"/>
    <w:rsid w:val="FE6CC817"/>
    <w:rsid w:val="FECBC076"/>
    <w:rsid w:val="FEFE817C"/>
    <w:rsid w:val="FEFF55A6"/>
    <w:rsid w:val="FF4CD704"/>
    <w:rsid w:val="FF538FC6"/>
    <w:rsid w:val="FF571C10"/>
    <w:rsid w:val="FF7D5241"/>
    <w:rsid w:val="FF7E2B5E"/>
    <w:rsid w:val="FF8730D1"/>
    <w:rsid w:val="FF9A3671"/>
    <w:rsid w:val="FFAA1E81"/>
    <w:rsid w:val="FFAB1FC3"/>
    <w:rsid w:val="FFBF3B70"/>
    <w:rsid w:val="FFD81ABC"/>
    <w:rsid w:val="FFDEDF1F"/>
    <w:rsid w:val="FFE64712"/>
    <w:rsid w:val="FFEBB83D"/>
    <w:rsid w:val="FFEFE625"/>
    <w:rsid w:val="FFFD23A9"/>
    <w:rsid w:val="FFFF55FA"/>
    <w:rsid w:val="FFFFF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82"/>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103"/>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77"/>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117"/>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116"/>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105"/>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111"/>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100"/>
    <w:qFormat/>
    <w:uiPriority w:val="0"/>
    <w:pPr>
      <w:ind w:firstLine="420" w:firstLineChars="200"/>
    </w:pPr>
    <w:rPr>
      <w:rFonts w:eastAsiaTheme="minorEastAsia" w:cstheme="minorBidi"/>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81"/>
    <w:semiHidden/>
    <w:qFormat/>
    <w:uiPriority w:val="0"/>
    <w:pPr>
      <w:shd w:val="clear" w:color="auto" w:fill="000080"/>
    </w:pPr>
    <w:rPr>
      <w:rFonts w:eastAsiaTheme="minorEastAsia" w:cstheme="minorBidi"/>
      <w:szCs w:val="21"/>
    </w:rPr>
  </w:style>
  <w:style w:type="paragraph" w:styleId="17">
    <w:name w:val="annotation text"/>
    <w:basedOn w:val="1"/>
    <w:link w:val="118"/>
    <w:unhideWhenUsed/>
    <w:qFormat/>
    <w:uiPriority w:val="99"/>
    <w:pPr>
      <w:jc w:val="left"/>
    </w:pPr>
    <w:rPr>
      <w:rFonts w:eastAsiaTheme="minorEastAsia" w:cstheme="minorBidi"/>
      <w:szCs w:val="22"/>
    </w:rPr>
  </w:style>
  <w:style w:type="paragraph" w:styleId="18">
    <w:name w:val="Body Text"/>
    <w:basedOn w:val="1"/>
    <w:link w:val="132"/>
    <w:unhideWhenUsed/>
    <w:qFormat/>
    <w:uiPriority w:val="0"/>
    <w:pPr>
      <w:spacing w:after="120"/>
    </w:pPr>
  </w:style>
  <w:style w:type="paragraph" w:styleId="19">
    <w:name w:val="Body Text Indent"/>
    <w:basedOn w:val="1"/>
    <w:link w:val="125"/>
    <w:unhideWhenUsed/>
    <w:qFormat/>
    <w:uiPriority w:val="0"/>
    <w:pPr>
      <w:spacing w:after="120"/>
      <w:ind w:left="420" w:leftChars="200"/>
    </w:p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qFormat/>
    <w:uiPriority w:val="39"/>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83"/>
    <w:qFormat/>
    <w:uiPriority w:val="0"/>
    <w:pPr>
      <w:autoSpaceDE w:val="0"/>
      <w:autoSpaceDN w:val="0"/>
      <w:adjustRightInd w:val="0"/>
    </w:pPr>
    <w:rPr>
      <w:rFonts w:ascii="宋体" w:eastAsiaTheme="minorEastAsia" w:cstheme="minorBidi"/>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85"/>
    <w:qFormat/>
    <w:uiPriority w:val="0"/>
    <w:pPr>
      <w:ind w:left="100" w:leftChars="2500"/>
    </w:pPr>
    <w:rPr>
      <w:rFonts w:eastAsiaTheme="minorEastAsia" w:cstheme="minorBidi"/>
      <w:szCs w:val="24"/>
    </w:rPr>
  </w:style>
  <w:style w:type="paragraph" w:styleId="26">
    <w:name w:val="Body Text Indent 2"/>
    <w:basedOn w:val="1"/>
    <w:link w:val="106"/>
    <w:qFormat/>
    <w:uiPriority w:val="0"/>
    <w:pPr>
      <w:spacing w:after="120" w:line="480" w:lineRule="auto"/>
      <w:ind w:left="420" w:leftChars="200"/>
    </w:pPr>
    <w:rPr>
      <w:rFonts w:eastAsiaTheme="minorEastAsia" w:cstheme="minorBidi"/>
      <w:szCs w:val="21"/>
    </w:rPr>
  </w:style>
  <w:style w:type="paragraph" w:styleId="27">
    <w:name w:val="endnote text"/>
    <w:basedOn w:val="1"/>
    <w:link w:val="355"/>
    <w:semiHidden/>
    <w:unhideWhenUsed/>
    <w:qFormat/>
    <w:uiPriority w:val="99"/>
    <w:pPr>
      <w:snapToGrid w:val="0"/>
      <w:jc w:val="left"/>
    </w:pPr>
    <w:rPr>
      <w:rFonts w:asciiTheme="minorHAnsi" w:hAnsiTheme="minorHAnsi" w:eastAsiaTheme="minorEastAsia" w:cstheme="minorBidi"/>
      <w:szCs w:val="22"/>
    </w:rPr>
  </w:style>
  <w:style w:type="paragraph" w:styleId="28">
    <w:name w:val="Balloon Text"/>
    <w:basedOn w:val="1"/>
    <w:link w:val="109"/>
    <w:unhideWhenUsed/>
    <w:qFormat/>
    <w:uiPriority w:val="99"/>
    <w:rPr>
      <w:sz w:val="18"/>
      <w:szCs w:val="18"/>
    </w:rPr>
  </w:style>
  <w:style w:type="paragraph" w:styleId="29">
    <w:name w:val="footer"/>
    <w:basedOn w:val="1"/>
    <w:link w:val="5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0">
    <w:name w:val="header"/>
    <w:basedOn w:val="1"/>
    <w:link w:val="5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1">
    <w:name w:val="toc 1"/>
    <w:basedOn w:val="1"/>
    <w:next w:val="1"/>
    <w:qFormat/>
    <w:uiPriority w:val="39"/>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2">
    <w:name w:val="toc 4"/>
    <w:basedOn w:val="1"/>
    <w:next w:val="1"/>
    <w:semiHidden/>
    <w:qFormat/>
    <w:uiPriority w:val="0"/>
    <w:pPr>
      <w:ind w:left="630"/>
      <w:jc w:val="left"/>
    </w:pPr>
    <w:rPr>
      <w:sz w:val="18"/>
      <w:szCs w:val="18"/>
    </w:rPr>
  </w:style>
  <w:style w:type="paragraph" w:styleId="33">
    <w:name w:val="Subtitle"/>
    <w:basedOn w:val="1"/>
    <w:next w:val="1"/>
    <w:link w:val="97"/>
    <w:qFormat/>
    <w:uiPriority w:val="11"/>
    <w:pPr>
      <w:spacing w:after="160"/>
    </w:pPr>
    <w:rPr>
      <w:rFonts w:eastAsia="等线" w:asciiTheme="minorHAnsi" w:hAnsiTheme="minorHAnsi" w:cstheme="minorBidi"/>
      <w:color w:val="5A5A5A"/>
      <w:spacing w:val="15"/>
      <w:szCs w:val="22"/>
    </w:rPr>
  </w:style>
  <w:style w:type="paragraph" w:styleId="34">
    <w:name w:val="List"/>
    <w:basedOn w:val="1"/>
    <w:qFormat/>
    <w:uiPriority w:val="0"/>
    <w:pPr>
      <w:autoSpaceDE w:val="0"/>
      <w:autoSpaceDN w:val="0"/>
      <w:adjustRightInd w:val="0"/>
      <w:ind w:left="200" w:hanging="200" w:hangingChars="200"/>
      <w:textAlignment w:val="baseline"/>
    </w:pPr>
    <w:rPr>
      <w:kern w:val="0"/>
      <w:sz w:val="24"/>
    </w:rPr>
  </w:style>
  <w:style w:type="paragraph" w:styleId="35">
    <w:name w:val="footnote text"/>
    <w:basedOn w:val="1"/>
    <w:link w:val="107"/>
    <w:qFormat/>
    <w:uiPriority w:val="0"/>
    <w:pPr>
      <w:numPr>
        <w:ilvl w:val="3"/>
        <w:numId w:val="1"/>
      </w:numPr>
      <w:tabs>
        <w:tab w:val="clear" w:pos="2160"/>
      </w:tabs>
      <w:snapToGrid w:val="0"/>
      <w:ind w:left="0" w:firstLine="0"/>
      <w:jc w:val="left"/>
    </w:pPr>
    <w:rPr>
      <w:rFonts w:eastAsiaTheme="minorEastAsia" w:cstheme="minorBidi"/>
      <w:sz w:val="18"/>
      <w:szCs w:val="18"/>
    </w:rPr>
  </w:style>
  <w:style w:type="paragraph" w:styleId="36">
    <w:name w:val="toc 6"/>
    <w:basedOn w:val="1"/>
    <w:next w:val="1"/>
    <w:semiHidden/>
    <w:qFormat/>
    <w:uiPriority w:val="0"/>
    <w:pPr>
      <w:ind w:left="1050"/>
      <w:jc w:val="left"/>
    </w:pPr>
    <w:rPr>
      <w:sz w:val="18"/>
      <w:szCs w:val="18"/>
    </w:rPr>
  </w:style>
  <w:style w:type="paragraph" w:styleId="37">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8">
    <w:name w:val="Body Text Indent 3"/>
    <w:basedOn w:val="1"/>
    <w:link w:val="84"/>
    <w:qFormat/>
    <w:uiPriority w:val="0"/>
    <w:pPr>
      <w:spacing w:after="120"/>
      <w:ind w:left="420" w:leftChars="200"/>
    </w:pPr>
    <w:rPr>
      <w:rFonts w:eastAsiaTheme="minorEastAsia" w:cstheme="minorBidi"/>
      <w:sz w:val="16"/>
      <w:szCs w:val="16"/>
    </w:rPr>
  </w:style>
  <w:style w:type="paragraph" w:styleId="39">
    <w:name w:val="toc 2"/>
    <w:basedOn w:val="1"/>
    <w:next w:val="1"/>
    <w:qFormat/>
    <w:uiPriority w:val="39"/>
    <w:pPr>
      <w:numPr>
        <w:ilvl w:val="7"/>
        <w:numId w:val="1"/>
      </w:numPr>
      <w:tabs>
        <w:tab w:val="clear" w:pos="2160"/>
      </w:tabs>
      <w:ind w:left="210" w:firstLine="0"/>
      <w:jc w:val="left"/>
    </w:pPr>
    <w:rPr>
      <w:smallCaps/>
      <w:sz w:val="20"/>
    </w:rPr>
  </w:style>
  <w:style w:type="paragraph" w:styleId="40">
    <w:name w:val="toc 9"/>
    <w:basedOn w:val="1"/>
    <w:next w:val="1"/>
    <w:semiHidden/>
    <w:qFormat/>
    <w:uiPriority w:val="0"/>
    <w:pPr>
      <w:ind w:left="1680"/>
      <w:jc w:val="left"/>
    </w:pPr>
    <w:rPr>
      <w:sz w:val="18"/>
      <w:szCs w:val="18"/>
    </w:rPr>
  </w:style>
  <w:style w:type="paragraph" w:styleId="41">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94"/>
    <w:qFormat/>
    <w:uiPriority w:val="0"/>
    <w:pPr>
      <w:numPr>
        <w:ilvl w:val="1"/>
        <w:numId w:val="1"/>
      </w:numPr>
      <w:tabs>
        <w:tab w:val="clear" w:pos="720"/>
      </w:tabs>
      <w:wordWrap w:val="0"/>
      <w:jc w:val="center"/>
    </w:pPr>
    <w:rPr>
      <w:rFonts w:eastAsia="BatangChe" w:cstheme="minorBidi"/>
      <w:sz w:val="40"/>
      <w:szCs w:val="22"/>
      <w:lang w:eastAsia="ko-KR"/>
    </w:rPr>
  </w:style>
  <w:style w:type="paragraph" w:styleId="44">
    <w:name w:val="annotation subject"/>
    <w:basedOn w:val="17"/>
    <w:next w:val="17"/>
    <w:link w:val="112"/>
    <w:unhideWhenUsed/>
    <w:qFormat/>
    <w:uiPriority w:val="99"/>
    <w:rPr>
      <w:b/>
      <w:bCs/>
    </w:rPr>
  </w:style>
  <w:style w:type="paragraph" w:styleId="45">
    <w:name w:val="Body Text First Indent"/>
    <w:basedOn w:val="18"/>
    <w:link w:val="113"/>
    <w:qFormat/>
    <w:uiPriority w:val="0"/>
    <w:pPr>
      <w:ind w:firstLine="420" w:firstLineChars="100"/>
    </w:pPr>
    <w:rPr>
      <w:rFonts w:eastAsiaTheme="minorEastAsia" w:cstheme="minorBidi"/>
      <w:szCs w:val="24"/>
    </w:rPr>
  </w:style>
  <w:style w:type="paragraph" w:styleId="46">
    <w:name w:val="Body Text First Indent 2"/>
    <w:basedOn w:val="19"/>
    <w:link w:val="78"/>
    <w:qFormat/>
    <w:uiPriority w:val="0"/>
    <w:pPr>
      <w:autoSpaceDE w:val="0"/>
      <w:autoSpaceDN w:val="0"/>
      <w:adjustRightInd w:val="0"/>
      <w:ind w:firstLine="420" w:firstLineChars="200"/>
      <w:textAlignment w:val="baseline"/>
    </w:pPr>
    <w:rPr>
      <w:rFonts w:eastAsiaTheme="minorEastAsia" w:cstheme="minorBidi"/>
      <w:sz w:val="24"/>
      <w:szCs w:val="21"/>
    </w:rPr>
  </w:style>
  <w:style w:type="table" w:styleId="48">
    <w:name w:val="Table Grid"/>
    <w:basedOn w:val="4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Simple 1"/>
    <w:basedOn w:val="47"/>
    <w:qFormat/>
    <w:uiPriority w:val="0"/>
    <w:pPr>
      <w:widowControl w:val="0"/>
      <w:numPr>
        <w:numId w:val="1"/>
      </w:numPr>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1">
    <w:name w:val="Strong"/>
    <w:qFormat/>
    <w:uiPriority w:val="0"/>
    <w:rPr>
      <w:b/>
      <w:bCs/>
    </w:rPr>
  </w:style>
  <w:style w:type="character" w:styleId="52">
    <w:name w:val="endnote reference"/>
    <w:basedOn w:val="50"/>
    <w:semiHidden/>
    <w:unhideWhenUsed/>
    <w:qFormat/>
    <w:uiPriority w:val="99"/>
    <w:rPr>
      <w:vertAlign w:val="superscript"/>
    </w:rPr>
  </w:style>
  <w:style w:type="character" w:styleId="53">
    <w:name w:val="page number"/>
    <w:qFormat/>
    <w:uiPriority w:val="0"/>
  </w:style>
  <w:style w:type="character" w:styleId="54">
    <w:name w:val="FollowedHyperlink"/>
    <w:unhideWhenUsed/>
    <w:qFormat/>
    <w:uiPriority w:val="99"/>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footnote reference"/>
    <w:semiHidden/>
    <w:qFormat/>
    <w:uiPriority w:val="0"/>
    <w:rPr>
      <w:vertAlign w:val="superscript"/>
    </w:rPr>
  </w:style>
  <w:style w:type="character" w:customStyle="1" w:styleId="58">
    <w:name w:val="页眉 Char"/>
    <w:basedOn w:val="50"/>
    <w:link w:val="30"/>
    <w:qFormat/>
    <w:uiPriority w:val="99"/>
    <w:rPr>
      <w:sz w:val="18"/>
      <w:szCs w:val="18"/>
    </w:rPr>
  </w:style>
  <w:style w:type="character" w:customStyle="1" w:styleId="59">
    <w:name w:val="页脚 Char"/>
    <w:basedOn w:val="50"/>
    <w:link w:val="29"/>
    <w:qFormat/>
    <w:uiPriority w:val="99"/>
    <w:rPr>
      <w:sz w:val="18"/>
      <w:szCs w:val="18"/>
    </w:rPr>
  </w:style>
  <w:style w:type="character" w:customStyle="1" w:styleId="60">
    <w:name w:val="标题 1 Char"/>
    <w:basedOn w:val="50"/>
    <w:qFormat/>
    <w:uiPriority w:val="9"/>
    <w:rPr>
      <w:rFonts w:ascii="Times New Roman" w:hAnsi="Times New Roman" w:eastAsia="宋体" w:cs="Times New Roman"/>
      <w:b/>
      <w:bCs/>
      <w:kern w:val="44"/>
      <w:sz w:val="44"/>
      <w:szCs w:val="44"/>
    </w:rPr>
  </w:style>
  <w:style w:type="character" w:customStyle="1" w:styleId="61">
    <w:name w:val="标题 2 Char"/>
    <w:basedOn w:val="50"/>
    <w:qFormat/>
    <w:uiPriority w:val="0"/>
    <w:rPr>
      <w:rFonts w:asciiTheme="majorHAnsi" w:hAnsiTheme="majorHAnsi" w:eastAsiaTheme="majorEastAsia" w:cstheme="majorBidi"/>
      <w:b/>
      <w:bCs/>
      <w:sz w:val="32"/>
      <w:szCs w:val="32"/>
    </w:rPr>
  </w:style>
  <w:style w:type="character" w:customStyle="1" w:styleId="62">
    <w:name w:val="标题 3 Char"/>
    <w:basedOn w:val="50"/>
    <w:qFormat/>
    <w:uiPriority w:val="0"/>
    <w:rPr>
      <w:rFonts w:ascii="Times New Roman" w:hAnsi="Times New Roman" w:eastAsia="宋体" w:cs="Times New Roman"/>
      <w:b/>
      <w:bCs/>
      <w:sz w:val="32"/>
      <w:szCs w:val="32"/>
    </w:rPr>
  </w:style>
  <w:style w:type="character" w:customStyle="1" w:styleId="63">
    <w:name w:val="标题 4 Char"/>
    <w:basedOn w:val="50"/>
    <w:qFormat/>
    <w:uiPriority w:val="0"/>
    <w:rPr>
      <w:rFonts w:asciiTheme="majorHAnsi" w:hAnsiTheme="majorHAnsi" w:eastAsiaTheme="majorEastAsia" w:cstheme="majorBidi"/>
      <w:b/>
      <w:bCs/>
      <w:sz w:val="28"/>
      <w:szCs w:val="28"/>
    </w:rPr>
  </w:style>
  <w:style w:type="character" w:customStyle="1" w:styleId="64">
    <w:name w:val="标题 5 Char"/>
    <w:basedOn w:val="50"/>
    <w:qFormat/>
    <w:uiPriority w:val="0"/>
    <w:rPr>
      <w:rFonts w:ascii="Times New Roman" w:hAnsi="Times New Roman" w:eastAsia="宋体" w:cs="Times New Roman"/>
      <w:b/>
      <w:bCs/>
      <w:sz w:val="28"/>
      <w:szCs w:val="28"/>
    </w:rPr>
  </w:style>
  <w:style w:type="character" w:customStyle="1" w:styleId="65">
    <w:name w:val="标题 6 Char"/>
    <w:basedOn w:val="50"/>
    <w:qFormat/>
    <w:uiPriority w:val="0"/>
    <w:rPr>
      <w:rFonts w:asciiTheme="majorHAnsi" w:hAnsiTheme="majorHAnsi" w:eastAsiaTheme="majorEastAsia" w:cstheme="majorBidi"/>
      <w:b/>
      <w:bCs/>
      <w:sz w:val="24"/>
      <w:szCs w:val="24"/>
    </w:rPr>
  </w:style>
  <w:style w:type="character" w:customStyle="1" w:styleId="66">
    <w:name w:val="标题 7 Char"/>
    <w:basedOn w:val="50"/>
    <w:qFormat/>
    <w:uiPriority w:val="0"/>
    <w:rPr>
      <w:rFonts w:ascii="Times New Roman" w:hAnsi="Times New Roman" w:eastAsia="宋体" w:cs="Times New Roman"/>
      <w:b/>
      <w:bCs/>
      <w:sz w:val="24"/>
      <w:szCs w:val="24"/>
    </w:rPr>
  </w:style>
  <w:style w:type="character" w:customStyle="1" w:styleId="67">
    <w:name w:val="标题 8 Char"/>
    <w:basedOn w:val="50"/>
    <w:qFormat/>
    <w:uiPriority w:val="0"/>
    <w:rPr>
      <w:rFonts w:asciiTheme="majorHAnsi" w:hAnsiTheme="majorHAnsi" w:eastAsiaTheme="majorEastAsia" w:cstheme="majorBidi"/>
      <w:sz w:val="24"/>
      <w:szCs w:val="24"/>
    </w:rPr>
  </w:style>
  <w:style w:type="character" w:customStyle="1" w:styleId="68">
    <w:name w:val="标题 9 Char"/>
    <w:basedOn w:val="50"/>
    <w:qFormat/>
    <w:uiPriority w:val="0"/>
    <w:rPr>
      <w:rFonts w:asciiTheme="majorHAnsi" w:hAnsiTheme="majorHAnsi" w:eastAsiaTheme="majorEastAsia" w:cstheme="majorBidi"/>
      <w:szCs w:val="21"/>
    </w:rPr>
  </w:style>
  <w:style w:type="character" w:customStyle="1" w:styleId="69">
    <w:name w:val="linknamespan1"/>
    <w:qFormat/>
    <w:uiPriority w:val="0"/>
  </w:style>
  <w:style w:type="character" w:customStyle="1" w:styleId="70">
    <w:name w:val="页脚 字符"/>
    <w:qFormat/>
    <w:uiPriority w:val="99"/>
    <w:rPr>
      <w:rFonts w:ascii="Times New Roman" w:hAnsi="Times New Roman" w:eastAsia="宋体" w:cs="Times New Roman"/>
      <w:sz w:val="18"/>
      <w:szCs w:val="18"/>
    </w:rPr>
  </w:style>
  <w:style w:type="character" w:customStyle="1" w:styleId="71">
    <w:name w:val="gwdtitle1"/>
    <w:qFormat/>
    <w:uiPriority w:val="0"/>
  </w:style>
  <w:style w:type="character" w:customStyle="1" w:styleId="72">
    <w:name w:val="Char Char7"/>
    <w:qFormat/>
    <w:uiPriority w:val="0"/>
    <w:rPr>
      <w:rFonts w:eastAsia="宋体"/>
      <w:kern w:val="2"/>
      <w:sz w:val="18"/>
      <w:szCs w:val="18"/>
      <w:lang w:val="en-US" w:eastAsia="zh-CN" w:bidi="ar-SA"/>
    </w:rPr>
  </w:style>
  <w:style w:type="character" w:customStyle="1" w:styleId="73">
    <w:name w:val="style_kwd"/>
    <w:qFormat/>
    <w:uiPriority w:val="0"/>
  </w:style>
  <w:style w:type="character" w:customStyle="1" w:styleId="74">
    <w:name w:val="z-窗体顶端 Char1"/>
    <w:link w:val="75"/>
    <w:qFormat/>
    <w:uiPriority w:val="99"/>
    <w:rPr>
      <w:rFonts w:ascii="Arial" w:hAnsi="Arial"/>
      <w:vanish/>
      <w:sz w:val="16"/>
      <w:szCs w:val="16"/>
    </w:rPr>
  </w:style>
  <w:style w:type="paragraph" w:customStyle="1" w:styleId="75">
    <w:name w:val="HTML Top of Form"/>
    <w:basedOn w:val="1"/>
    <w:next w:val="1"/>
    <w:link w:val="74"/>
    <w:unhideWhenUsed/>
    <w:qFormat/>
    <w:uiPriority w:val="99"/>
    <w:pPr>
      <w:widowControl/>
      <w:pBdr>
        <w:bottom w:val="single" w:color="auto" w:sz="6" w:space="1"/>
      </w:pBdr>
      <w:jc w:val="center"/>
    </w:pPr>
    <w:rPr>
      <w:rFonts w:ascii="Arial" w:hAnsi="Arial" w:eastAsiaTheme="minorEastAsia" w:cstheme="minorBidi"/>
      <w:vanish/>
      <w:sz w:val="16"/>
      <w:szCs w:val="16"/>
    </w:rPr>
  </w:style>
  <w:style w:type="character" w:customStyle="1" w:styleId="76">
    <w:name w:val="bigger"/>
    <w:qFormat/>
    <w:uiPriority w:val="0"/>
  </w:style>
  <w:style w:type="character" w:customStyle="1" w:styleId="77">
    <w:name w:val="标题 5 Char1"/>
    <w:link w:val="6"/>
    <w:qFormat/>
    <w:uiPriority w:val="0"/>
    <w:rPr>
      <w:rFonts w:ascii="Times New Roman" w:hAnsi="Times New Roman" w:eastAsia="宋体" w:cs="Times New Roman"/>
      <w:b/>
      <w:bCs/>
      <w:kern w:val="0"/>
      <w:sz w:val="28"/>
      <w:szCs w:val="28"/>
    </w:rPr>
  </w:style>
  <w:style w:type="character" w:customStyle="1" w:styleId="78">
    <w:name w:val="正文首行缩进 2 Char1"/>
    <w:link w:val="46"/>
    <w:qFormat/>
    <w:uiPriority w:val="99"/>
    <w:rPr>
      <w:rFonts w:ascii="Times New Roman" w:hAnsi="Times New Roman"/>
      <w:sz w:val="24"/>
      <w:szCs w:val="21"/>
    </w:rPr>
  </w:style>
  <w:style w:type="character" w:customStyle="1" w:styleId="79">
    <w:name w:val="grame"/>
    <w:qFormat/>
    <w:uiPriority w:val="0"/>
  </w:style>
  <w:style w:type="character" w:customStyle="1" w:styleId="80">
    <w:name w:val="font2"/>
    <w:qFormat/>
    <w:uiPriority w:val="0"/>
  </w:style>
  <w:style w:type="character" w:customStyle="1" w:styleId="81">
    <w:name w:val="文档结构图 Char1"/>
    <w:link w:val="16"/>
    <w:semiHidden/>
    <w:qFormat/>
    <w:uiPriority w:val="99"/>
    <w:rPr>
      <w:rFonts w:ascii="Times New Roman" w:hAnsi="Times New Roman"/>
      <w:szCs w:val="21"/>
      <w:shd w:val="clear" w:color="auto" w:fill="000080"/>
    </w:rPr>
  </w:style>
  <w:style w:type="character" w:customStyle="1" w:styleId="82">
    <w:name w:val="标题 3 Char1"/>
    <w:link w:val="4"/>
    <w:qFormat/>
    <w:uiPriority w:val="0"/>
    <w:rPr>
      <w:rFonts w:ascii="Times New Roman" w:hAnsi="Times New Roman" w:eastAsia="宋体" w:cs="Times New Roman"/>
      <w:b/>
      <w:bCs/>
      <w:kern w:val="0"/>
      <w:sz w:val="32"/>
      <w:szCs w:val="32"/>
    </w:rPr>
  </w:style>
  <w:style w:type="character" w:customStyle="1" w:styleId="83">
    <w:name w:val="纯文本 Char1"/>
    <w:link w:val="23"/>
    <w:qFormat/>
    <w:uiPriority w:val="99"/>
    <w:rPr>
      <w:rFonts w:ascii="宋体" w:hAnsi="Times New Roman"/>
      <w:szCs w:val="21"/>
    </w:rPr>
  </w:style>
  <w:style w:type="character" w:customStyle="1" w:styleId="84">
    <w:name w:val="正文文本缩进 3 Char1"/>
    <w:link w:val="38"/>
    <w:qFormat/>
    <w:uiPriority w:val="99"/>
    <w:rPr>
      <w:rFonts w:ascii="Times New Roman" w:hAnsi="Times New Roman"/>
      <w:sz w:val="16"/>
      <w:szCs w:val="16"/>
    </w:rPr>
  </w:style>
  <w:style w:type="character" w:customStyle="1" w:styleId="85">
    <w:name w:val="日期 Char1"/>
    <w:link w:val="25"/>
    <w:qFormat/>
    <w:uiPriority w:val="99"/>
    <w:rPr>
      <w:rFonts w:ascii="Times New Roman" w:hAnsi="Times New Roman"/>
      <w:szCs w:val="24"/>
    </w:rPr>
  </w:style>
  <w:style w:type="character" w:customStyle="1" w:styleId="86">
    <w:name w:val="正文文本 字符"/>
    <w:qFormat/>
    <w:uiPriority w:val="0"/>
    <w:rPr>
      <w:rFonts w:ascii="Times New Roman" w:hAnsi="Times New Roman"/>
      <w:szCs w:val="21"/>
    </w:rPr>
  </w:style>
  <w:style w:type="character" w:customStyle="1" w:styleId="87">
    <w:name w:val="标题 2 Char1"/>
    <w:link w:val="3"/>
    <w:qFormat/>
    <w:uiPriority w:val="0"/>
    <w:rPr>
      <w:rFonts w:ascii="Arial" w:hAnsi="Arial" w:eastAsia="黑体" w:cs="Times New Roman"/>
      <w:b/>
      <w:bCs/>
      <w:kern w:val="0"/>
      <w:sz w:val="32"/>
      <w:szCs w:val="32"/>
    </w:rPr>
  </w:style>
  <w:style w:type="character" w:customStyle="1" w:styleId="88">
    <w:name w:val="p1"/>
    <w:qFormat/>
    <w:uiPriority w:val="0"/>
  </w:style>
  <w:style w:type="character" w:customStyle="1" w:styleId="89">
    <w:name w:val="正文文本缩进 字符"/>
    <w:qFormat/>
    <w:uiPriority w:val="0"/>
    <w:rPr>
      <w:rFonts w:ascii="Times New Roman" w:hAnsi="Times New Roman"/>
      <w:szCs w:val="21"/>
    </w:rPr>
  </w:style>
  <w:style w:type="character" w:customStyle="1" w:styleId="90">
    <w:name w:val="页眉 字符"/>
    <w:qFormat/>
    <w:uiPriority w:val="99"/>
    <w:rPr>
      <w:rFonts w:ascii="Times New Roman" w:hAnsi="Times New Roman" w:eastAsia="宋体" w:cs="Times New Roman"/>
      <w:sz w:val="18"/>
      <w:szCs w:val="18"/>
    </w:rPr>
  </w:style>
  <w:style w:type="character" w:customStyle="1" w:styleId="91">
    <w:name w:val="f1"/>
    <w:qFormat/>
    <w:uiPriority w:val="0"/>
    <w:rPr>
      <w:rFonts w:hint="eastAsia" w:ascii="黑体" w:eastAsia="黑体"/>
      <w:color w:val="000000"/>
      <w:sz w:val="24"/>
      <w:szCs w:val="24"/>
    </w:rPr>
  </w:style>
  <w:style w:type="character" w:customStyle="1" w:styleId="92">
    <w:name w:val="text1"/>
    <w:qFormat/>
    <w:uiPriority w:val="0"/>
    <w:rPr>
      <w:sz w:val="18"/>
      <w:szCs w:val="18"/>
    </w:rPr>
  </w:style>
  <w:style w:type="character" w:customStyle="1" w:styleId="93">
    <w:name w:val="smaller"/>
    <w:qFormat/>
    <w:uiPriority w:val="0"/>
  </w:style>
  <w:style w:type="character" w:customStyle="1" w:styleId="94">
    <w:name w:val="标题 Char1"/>
    <w:link w:val="43"/>
    <w:qFormat/>
    <w:uiPriority w:val="10"/>
    <w:rPr>
      <w:rFonts w:ascii="Times New Roman" w:hAnsi="Times New Roman" w:eastAsia="BatangChe"/>
      <w:sz w:val="40"/>
      <w:lang w:eastAsia="ko-KR"/>
    </w:rPr>
  </w:style>
  <w:style w:type="character" w:customStyle="1" w:styleId="95">
    <w:name w:val="google-src-text1"/>
    <w:qFormat/>
    <w:uiPriority w:val="0"/>
    <w:rPr>
      <w:vanish/>
    </w:rPr>
  </w:style>
  <w:style w:type="character" w:customStyle="1" w:styleId="96">
    <w:name w:val="style7"/>
    <w:qFormat/>
    <w:uiPriority w:val="0"/>
  </w:style>
  <w:style w:type="character" w:customStyle="1" w:styleId="97">
    <w:name w:val="副标题 Char1"/>
    <w:link w:val="33"/>
    <w:qFormat/>
    <w:uiPriority w:val="11"/>
    <w:rPr>
      <w:rFonts w:eastAsia="等线"/>
      <w:color w:val="5A5A5A"/>
      <w:spacing w:val="15"/>
    </w:rPr>
  </w:style>
  <w:style w:type="character" w:customStyle="1" w:styleId="98">
    <w:name w:val="medium"/>
    <w:qFormat/>
    <w:uiPriority w:val="0"/>
  </w:style>
  <w:style w:type="character" w:customStyle="1" w:styleId="99">
    <w:name w:val="gwds_more1"/>
    <w:qFormat/>
    <w:uiPriority w:val="0"/>
  </w:style>
  <w:style w:type="character" w:customStyle="1" w:styleId="100">
    <w:name w:val="正文缩进 Char"/>
    <w:link w:val="13"/>
    <w:qFormat/>
    <w:uiPriority w:val="0"/>
    <w:rPr>
      <w:rFonts w:ascii="Times New Roman" w:hAnsi="Times New Roman"/>
      <w:szCs w:val="24"/>
    </w:rPr>
  </w:style>
  <w:style w:type="character" w:customStyle="1" w:styleId="101">
    <w:name w:val="z-窗体底端 Char1"/>
    <w:link w:val="102"/>
    <w:qFormat/>
    <w:uiPriority w:val="99"/>
    <w:rPr>
      <w:rFonts w:ascii="Arial" w:hAnsi="Arial"/>
      <w:vanish/>
      <w:sz w:val="16"/>
      <w:szCs w:val="16"/>
    </w:rPr>
  </w:style>
  <w:style w:type="paragraph" w:customStyle="1" w:styleId="102">
    <w:name w:val="HTML Bottom of Form"/>
    <w:basedOn w:val="1"/>
    <w:next w:val="1"/>
    <w:link w:val="101"/>
    <w:unhideWhenUsed/>
    <w:qFormat/>
    <w:uiPriority w:val="99"/>
    <w:pPr>
      <w:widowControl/>
      <w:pBdr>
        <w:top w:val="single" w:color="auto" w:sz="6" w:space="1"/>
      </w:pBdr>
      <w:jc w:val="center"/>
    </w:pPr>
    <w:rPr>
      <w:rFonts w:ascii="Arial" w:hAnsi="Arial" w:eastAsiaTheme="minorEastAsia" w:cstheme="minorBidi"/>
      <w:vanish/>
      <w:sz w:val="16"/>
      <w:szCs w:val="16"/>
    </w:rPr>
  </w:style>
  <w:style w:type="character" w:customStyle="1" w:styleId="103">
    <w:name w:val="标题 4 Char1"/>
    <w:link w:val="5"/>
    <w:qFormat/>
    <w:uiPriority w:val="0"/>
    <w:rPr>
      <w:rFonts w:ascii="Arial" w:hAnsi="Arial" w:eastAsia="黑体" w:cs="Times New Roman"/>
      <w:b/>
      <w:bCs/>
      <w:kern w:val="0"/>
      <w:sz w:val="28"/>
      <w:szCs w:val="28"/>
    </w:rPr>
  </w:style>
  <w:style w:type="character" w:customStyle="1" w:styleId="104">
    <w:name w:val="标题 1 Char1"/>
    <w:link w:val="2"/>
    <w:qFormat/>
    <w:uiPriority w:val="9"/>
    <w:rPr>
      <w:rFonts w:ascii="Times New Roman" w:hAnsi="Times New Roman" w:eastAsia="宋体" w:cs="Times New Roman"/>
      <w:b/>
      <w:bCs/>
      <w:kern w:val="44"/>
      <w:sz w:val="44"/>
      <w:szCs w:val="44"/>
    </w:rPr>
  </w:style>
  <w:style w:type="character" w:customStyle="1" w:styleId="105">
    <w:name w:val="标题 8 Char1"/>
    <w:link w:val="9"/>
    <w:qFormat/>
    <w:uiPriority w:val="0"/>
    <w:rPr>
      <w:rFonts w:ascii="黑体" w:hAnsi="Arial" w:eastAsia="黑体" w:cs="Times New Roman"/>
      <w:kern w:val="24"/>
      <w:sz w:val="24"/>
      <w:szCs w:val="24"/>
    </w:rPr>
  </w:style>
  <w:style w:type="character" w:customStyle="1" w:styleId="106">
    <w:name w:val="正文文本缩进 2 Char1"/>
    <w:link w:val="26"/>
    <w:qFormat/>
    <w:uiPriority w:val="99"/>
    <w:rPr>
      <w:rFonts w:ascii="Times New Roman" w:hAnsi="Times New Roman"/>
      <w:szCs w:val="21"/>
    </w:rPr>
  </w:style>
  <w:style w:type="character" w:customStyle="1" w:styleId="107">
    <w:name w:val="脚注文本 Char1"/>
    <w:link w:val="35"/>
    <w:qFormat/>
    <w:uiPriority w:val="0"/>
    <w:rPr>
      <w:rFonts w:ascii="Times New Roman" w:hAnsi="Times New Roman"/>
      <w:sz w:val="18"/>
      <w:szCs w:val="18"/>
    </w:rPr>
  </w:style>
  <w:style w:type="character" w:customStyle="1" w:styleId="108">
    <w:name w:val="font3"/>
    <w:qFormat/>
    <w:uiPriority w:val="0"/>
  </w:style>
  <w:style w:type="character" w:customStyle="1" w:styleId="109">
    <w:name w:val="批注框文本 Char1"/>
    <w:link w:val="28"/>
    <w:qFormat/>
    <w:uiPriority w:val="99"/>
    <w:rPr>
      <w:rFonts w:ascii="Times New Roman" w:hAnsi="Times New Roman" w:eastAsia="宋体" w:cs="Times New Roman"/>
      <w:sz w:val="18"/>
      <w:szCs w:val="18"/>
    </w:rPr>
  </w:style>
  <w:style w:type="character" w:customStyle="1" w:styleId="110">
    <w:name w:val="color07"/>
    <w:qFormat/>
    <w:uiPriority w:val="0"/>
  </w:style>
  <w:style w:type="character" w:customStyle="1" w:styleId="111">
    <w:name w:val="标题 9 Char1"/>
    <w:link w:val="10"/>
    <w:qFormat/>
    <w:uiPriority w:val="0"/>
    <w:rPr>
      <w:rFonts w:ascii="Arial" w:hAnsi="Arial" w:eastAsia="黑体" w:cs="Times New Roman"/>
      <w:kern w:val="0"/>
      <w:sz w:val="24"/>
      <w:szCs w:val="21"/>
    </w:rPr>
  </w:style>
  <w:style w:type="character" w:customStyle="1" w:styleId="112">
    <w:name w:val="批注主题 Char1"/>
    <w:link w:val="44"/>
    <w:qFormat/>
    <w:uiPriority w:val="99"/>
    <w:rPr>
      <w:rFonts w:ascii="Times New Roman" w:hAnsi="Times New Roman"/>
      <w:b/>
      <w:bCs/>
    </w:rPr>
  </w:style>
  <w:style w:type="character" w:customStyle="1" w:styleId="113">
    <w:name w:val="正文首行缩进 Char1"/>
    <w:link w:val="45"/>
    <w:qFormat/>
    <w:uiPriority w:val="99"/>
    <w:rPr>
      <w:rFonts w:ascii="Times New Roman" w:hAnsi="Times New Roman"/>
      <w:szCs w:val="24"/>
    </w:rPr>
  </w:style>
  <w:style w:type="character" w:customStyle="1" w:styleId="114">
    <w:name w:val="h2 Char"/>
    <w:qFormat/>
    <w:uiPriority w:val="0"/>
    <w:rPr>
      <w:rFonts w:ascii="Arial" w:hAnsi="Arial" w:eastAsia="黑体"/>
      <w:b/>
      <w:bCs/>
      <w:kern w:val="2"/>
      <w:sz w:val="32"/>
      <w:szCs w:val="32"/>
      <w:lang w:val="en-US" w:eastAsia="zh-CN" w:bidi="ar-SA"/>
    </w:rPr>
  </w:style>
  <w:style w:type="character" w:customStyle="1" w:styleId="115">
    <w:name w:val="Char Char71"/>
    <w:qFormat/>
    <w:uiPriority w:val="0"/>
    <w:rPr>
      <w:rFonts w:eastAsia="宋体"/>
      <w:kern w:val="2"/>
      <w:sz w:val="18"/>
      <w:szCs w:val="18"/>
      <w:lang w:val="en-US" w:eastAsia="zh-CN" w:bidi="ar-SA"/>
    </w:rPr>
  </w:style>
  <w:style w:type="character" w:customStyle="1" w:styleId="116">
    <w:name w:val="标题 7 Char1"/>
    <w:link w:val="8"/>
    <w:qFormat/>
    <w:uiPriority w:val="0"/>
    <w:rPr>
      <w:rFonts w:ascii="Times New Roman" w:hAnsi="Times New Roman" w:eastAsia="宋体" w:cs="Times New Roman"/>
      <w:b/>
      <w:bCs/>
      <w:kern w:val="0"/>
      <w:sz w:val="24"/>
      <w:szCs w:val="24"/>
    </w:rPr>
  </w:style>
  <w:style w:type="character" w:customStyle="1" w:styleId="117">
    <w:name w:val="标题 6 Char1"/>
    <w:link w:val="7"/>
    <w:qFormat/>
    <w:uiPriority w:val="0"/>
    <w:rPr>
      <w:rFonts w:ascii="Arial" w:hAnsi="Arial" w:eastAsia="黑体" w:cs="Times New Roman"/>
      <w:b/>
      <w:bCs/>
      <w:kern w:val="0"/>
      <w:sz w:val="24"/>
      <w:szCs w:val="24"/>
    </w:rPr>
  </w:style>
  <w:style w:type="character" w:customStyle="1" w:styleId="118">
    <w:name w:val="批注文字 Char1"/>
    <w:link w:val="17"/>
    <w:qFormat/>
    <w:uiPriority w:val="99"/>
    <w:rPr>
      <w:rFonts w:ascii="Times New Roman" w:hAnsi="Times New Roman"/>
    </w:rPr>
  </w:style>
  <w:style w:type="character" w:customStyle="1" w:styleId="119">
    <w:name w:val="脚注文本 Char"/>
    <w:basedOn w:val="50"/>
    <w:qFormat/>
    <w:uiPriority w:val="0"/>
    <w:rPr>
      <w:rFonts w:ascii="Times New Roman" w:hAnsi="Times New Roman" w:eastAsia="宋体" w:cs="Times New Roman"/>
      <w:sz w:val="18"/>
      <w:szCs w:val="18"/>
    </w:rPr>
  </w:style>
  <w:style w:type="character" w:customStyle="1" w:styleId="120">
    <w:name w:val="正文文本缩进 2 Char"/>
    <w:basedOn w:val="50"/>
    <w:qFormat/>
    <w:uiPriority w:val="0"/>
    <w:rPr>
      <w:rFonts w:ascii="Times New Roman" w:hAnsi="Times New Roman" w:eastAsia="宋体" w:cs="Times New Roman"/>
      <w:szCs w:val="20"/>
    </w:rPr>
  </w:style>
  <w:style w:type="character" w:customStyle="1" w:styleId="121">
    <w:name w:val="文档结构图 Char"/>
    <w:basedOn w:val="50"/>
    <w:semiHidden/>
    <w:qFormat/>
    <w:uiPriority w:val="0"/>
    <w:rPr>
      <w:rFonts w:ascii="Microsoft YaHei UI" w:hAnsi="Times New Roman" w:eastAsia="Microsoft YaHei UI" w:cs="Times New Roman"/>
      <w:sz w:val="18"/>
      <w:szCs w:val="18"/>
    </w:rPr>
  </w:style>
  <w:style w:type="character" w:customStyle="1" w:styleId="122">
    <w:name w:val="标题 Char"/>
    <w:basedOn w:val="50"/>
    <w:qFormat/>
    <w:uiPriority w:val="0"/>
    <w:rPr>
      <w:rFonts w:eastAsia="宋体" w:asciiTheme="majorHAnsi" w:hAnsiTheme="majorHAnsi" w:cstheme="majorBidi"/>
      <w:b/>
      <w:bCs/>
      <w:sz w:val="32"/>
      <w:szCs w:val="32"/>
    </w:rPr>
  </w:style>
  <w:style w:type="character" w:customStyle="1" w:styleId="123">
    <w:name w:val="正文文本缩进 3 Char"/>
    <w:basedOn w:val="50"/>
    <w:qFormat/>
    <w:uiPriority w:val="0"/>
    <w:rPr>
      <w:rFonts w:ascii="Times New Roman" w:hAnsi="Times New Roman" w:eastAsia="宋体" w:cs="Times New Roman"/>
      <w:sz w:val="16"/>
      <w:szCs w:val="16"/>
    </w:rPr>
  </w:style>
  <w:style w:type="character" w:customStyle="1" w:styleId="124">
    <w:name w:val="日期 Char"/>
    <w:basedOn w:val="50"/>
    <w:qFormat/>
    <w:uiPriority w:val="0"/>
    <w:rPr>
      <w:rFonts w:ascii="Times New Roman" w:hAnsi="Times New Roman" w:eastAsia="宋体" w:cs="Times New Roman"/>
      <w:szCs w:val="20"/>
    </w:rPr>
  </w:style>
  <w:style w:type="character" w:customStyle="1" w:styleId="125">
    <w:name w:val="正文文本缩进 Char"/>
    <w:basedOn w:val="50"/>
    <w:link w:val="19"/>
    <w:qFormat/>
    <w:uiPriority w:val="0"/>
    <w:rPr>
      <w:rFonts w:ascii="Times New Roman" w:hAnsi="Times New Roman" w:eastAsia="宋体" w:cs="Times New Roman"/>
      <w:szCs w:val="20"/>
    </w:rPr>
  </w:style>
  <w:style w:type="character" w:customStyle="1" w:styleId="126">
    <w:name w:val="正文首行缩进 2 Char"/>
    <w:basedOn w:val="125"/>
    <w:qFormat/>
    <w:uiPriority w:val="0"/>
    <w:rPr>
      <w:rFonts w:ascii="Times New Roman" w:hAnsi="Times New Roman" w:eastAsia="宋体" w:cs="Times New Roman"/>
      <w:szCs w:val="20"/>
    </w:rPr>
  </w:style>
  <w:style w:type="character" w:customStyle="1" w:styleId="127">
    <w:name w:val="批注文字 Char"/>
    <w:basedOn w:val="50"/>
    <w:semiHidden/>
    <w:qFormat/>
    <w:uiPriority w:val="99"/>
    <w:rPr>
      <w:rFonts w:ascii="Times New Roman" w:hAnsi="Times New Roman" w:eastAsia="宋体" w:cs="Times New Roman"/>
      <w:szCs w:val="20"/>
    </w:rPr>
  </w:style>
  <w:style w:type="character" w:customStyle="1" w:styleId="128">
    <w:name w:val="批注主题 Char"/>
    <w:basedOn w:val="127"/>
    <w:semiHidden/>
    <w:qFormat/>
    <w:uiPriority w:val="99"/>
    <w:rPr>
      <w:rFonts w:ascii="Times New Roman" w:hAnsi="Times New Roman" w:eastAsia="宋体" w:cs="Times New Roman"/>
      <w:b/>
      <w:bCs/>
      <w:szCs w:val="20"/>
    </w:rPr>
  </w:style>
  <w:style w:type="character" w:customStyle="1" w:styleId="129">
    <w:name w:val="副标题 Char"/>
    <w:basedOn w:val="50"/>
    <w:qFormat/>
    <w:uiPriority w:val="11"/>
    <w:rPr>
      <w:rFonts w:eastAsia="宋体" w:asciiTheme="majorHAnsi" w:hAnsiTheme="majorHAnsi" w:cstheme="majorBidi"/>
      <w:b/>
      <w:bCs/>
      <w:kern w:val="28"/>
      <w:sz w:val="32"/>
      <w:szCs w:val="32"/>
    </w:rPr>
  </w:style>
  <w:style w:type="character" w:customStyle="1" w:styleId="130">
    <w:name w:val="纯文本 Char"/>
    <w:basedOn w:val="50"/>
    <w:qFormat/>
    <w:uiPriority w:val="0"/>
    <w:rPr>
      <w:rFonts w:ascii="宋体" w:hAnsi="Courier New" w:eastAsia="宋体" w:cs="Courier New"/>
      <w:szCs w:val="21"/>
    </w:rPr>
  </w:style>
  <w:style w:type="character" w:customStyle="1" w:styleId="131">
    <w:name w:val="批注框文本 Char"/>
    <w:basedOn w:val="50"/>
    <w:semiHidden/>
    <w:qFormat/>
    <w:uiPriority w:val="99"/>
    <w:rPr>
      <w:rFonts w:ascii="Times New Roman" w:hAnsi="Times New Roman" w:eastAsia="宋体" w:cs="Times New Roman"/>
      <w:sz w:val="18"/>
      <w:szCs w:val="18"/>
    </w:rPr>
  </w:style>
  <w:style w:type="character" w:customStyle="1" w:styleId="132">
    <w:name w:val="正文文本 Char"/>
    <w:basedOn w:val="50"/>
    <w:link w:val="18"/>
    <w:qFormat/>
    <w:uiPriority w:val="0"/>
    <w:rPr>
      <w:rFonts w:ascii="Times New Roman" w:hAnsi="Times New Roman" w:eastAsia="宋体" w:cs="Times New Roman"/>
      <w:szCs w:val="20"/>
    </w:rPr>
  </w:style>
  <w:style w:type="character" w:customStyle="1" w:styleId="133">
    <w:name w:val="正文首行缩进 Char"/>
    <w:basedOn w:val="132"/>
    <w:qFormat/>
    <w:uiPriority w:val="0"/>
    <w:rPr>
      <w:rFonts w:ascii="Times New Roman" w:hAnsi="Times New Roman" w:eastAsia="宋体" w:cs="Times New Roman"/>
      <w:szCs w:val="20"/>
    </w:rPr>
  </w:style>
  <w:style w:type="paragraph" w:customStyle="1" w:styleId="134">
    <w:name w:val="CM85"/>
    <w:basedOn w:val="135"/>
    <w:next w:val="135"/>
    <w:qFormat/>
    <w:uiPriority w:val="0"/>
    <w:pPr>
      <w:spacing w:line="403" w:lineRule="atLeast"/>
    </w:pPr>
    <w:rPr>
      <w:color w:val="auto"/>
    </w:rPr>
  </w:style>
  <w:style w:type="paragraph" w:customStyle="1" w:styleId="135">
    <w:name w:val="Default"/>
    <w:qFormat/>
    <w:uiPriority w:val="0"/>
    <w:pPr>
      <w:widowControl w:val="0"/>
      <w:autoSpaceDE w:val="0"/>
      <w:autoSpaceDN w:val="0"/>
      <w:adjustRightInd w:val="0"/>
    </w:pPr>
    <w:rPr>
      <w:rFonts w:ascii="FZDaBiaoSong-B06S" w:hAnsi="Times New Roman" w:eastAsia="FZDaBiaoSong-B06S" w:cs="FZDaBiaoSong-B06S"/>
      <w:color w:val="000000"/>
      <w:kern w:val="0"/>
      <w:sz w:val="24"/>
      <w:szCs w:val="24"/>
      <w:lang w:val="en-US" w:eastAsia="zh-CN" w:bidi="ar-SA"/>
    </w:rPr>
  </w:style>
  <w:style w:type="paragraph" w:customStyle="1" w:styleId="136">
    <w:name w:val="CM19"/>
    <w:basedOn w:val="135"/>
    <w:next w:val="135"/>
    <w:qFormat/>
    <w:uiPriority w:val="0"/>
    <w:pPr>
      <w:spacing w:line="403" w:lineRule="atLeast"/>
    </w:pPr>
    <w:rPr>
      <w:color w:val="auto"/>
    </w:rPr>
  </w:style>
  <w:style w:type="paragraph" w:styleId="137">
    <w:name w:val="List Paragraph"/>
    <w:basedOn w:val="1"/>
    <w:qFormat/>
    <w:uiPriority w:val="34"/>
    <w:pPr>
      <w:ind w:firstLine="420" w:firstLineChars="200"/>
    </w:pPr>
  </w:style>
  <w:style w:type="paragraph" w:customStyle="1" w:styleId="138">
    <w:name w:val="CM59"/>
    <w:basedOn w:val="135"/>
    <w:next w:val="135"/>
    <w:qFormat/>
    <w:uiPriority w:val="0"/>
    <w:pPr>
      <w:spacing w:line="403" w:lineRule="atLeast"/>
    </w:pPr>
    <w:rPr>
      <w:color w:val="auto"/>
    </w:rPr>
  </w:style>
  <w:style w:type="paragraph" w:customStyle="1" w:styleId="139">
    <w:name w:val="CM27"/>
    <w:basedOn w:val="135"/>
    <w:next w:val="135"/>
    <w:qFormat/>
    <w:uiPriority w:val="0"/>
    <w:pPr>
      <w:spacing w:line="403" w:lineRule="atLeast"/>
    </w:pPr>
    <w:rPr>
      <w:color w:val="auto"/>
    </w:rPr>
  </w:style>
  <w:style w:type="paragraph" w:customStyle="1" w:styleId="1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1">
    <w:name w:val="Char Char Char Char Char Char Char Char Char Char Char Char Char Char Char Char"/>
    <w:basedOn w:val="1"/>
    <w:semiHidden/>
    <w:qFormat/>
    <w:uiPriority w:val="0"/>
    <w:pPr>
      <w:tabs>
        <w:tab w:val="left" w:pos="360"/>
      </w:tabs>
    </w:pPr>
    <w:rPr>
      <w:sz w:val="24"/>
      <w:szCs w:val="24"/>
    </w:rPr>
  </w:style>
  <w:style w:type="paragraph" w:customStyle="1" w:styleId="142">
    <w:name w:val="CM109"/>
    <w:basedOn w:val="135"/>
    <w:next w:val="135"/>
    <w:qFormat/>
    <w:uiPriority w:val="0"/>
    <w:pPr>
      <w:spacing w:after="1975"/>
    </w:pPr>
    <w:rPr>
      <w:color w:val="auto"/>
    </w:rPr>
  </w:style>
  <w:style w:type="paragraph" w:customStyle="1" w:styleId="143">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144">
    <w:name w:val="MD1_L9"/>
    <w:basedOn w:val="1"/>
    <w:qFormat/>
    <w:uiPriority w:val="0"/>
    <w:pPr>
      <w:widowControl/>
      <w:tabs>
        <w:tab w:val="left" w:pos="3780"/>
      </w:tabs>
      <w:spacing w:after="240"/>
      <w:ind w:left="3780" w:hanging="420"/>
      <w:outlineLvl w:val="8"/>
    </w:pPr>
    <w:rPr>
      <w:kern w:val="0"/>
      <w:sz w:val="24"/>
      <w:lang w:eastAsia="en-US"/>
    </w:rPr>
  </w:style>
  <w:style w:type="paragraph" w:customStyle="1" w:styleId="145">
    <w:name w:val="CM43"/>
    <w:basedOn w:val="135"/>
    <w:next w:val="135"/>
    <w:qFormat/>
    <w:uiPriority w:val="0"/>
    <w:pPr>
      <w:spacing w:line="403" w:lineRule="atLeast"/>
    </w:pPr>
    <w:rPr>
      <w:color w:val="auto"/>
    </w:rPr>
  </w:style>
  <w:style w:type="paragraph" w:customStyle="1" w:styleId="146">
    <w:name w:val="CM5"/>
    <w:basedOn w:val="135"/>
    <w:next w:val="135"/>
    <w:qFormat/>
    <w:uiPriority w:val="0"/>
    <w:pPr>
      <w:spacing w:line="371" w:lineRule="atLeast"/>
    </w:pPr>
    <w:rPr>
      <w:rFonts w:cs="Times New Roman"/>
      <w:color w:val="auto"/>
    </w:rPr>
  </w:style>
  <w:style w:type="paragraph" w:customStyle="1" w:styleId="147">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8">
    <w:name w:val="Char Char Char Char"/>
    <w:basedOn w:val="1"/>
    <w:qFormat/>
    <w:uiPriority w:val="0"/>
    <w:rPr>
      <w:rFonts w:ascii="Tahoma" w:hAnsi="Tahoma"/>
      <w:sz w:val="24"/>
    </w:rPr>
  </w:style>
  <w:style w:type="paragraph" w:customStyle="1" w:styleId="149">
    <w:name w:val="CM3"/>
    <w:basedOn w:val="135"/>
    <w:next w:val="135"/>
    <w:qFormat/>
    <w:uiPriority w:val="0"/>
    <w:pPr>
      <w:spacing w:line="373" w:lineRule="atLeast"/>
    </w:pPr>
    <w:rPr>
      <w:rFonts w:cs="Times New Roman"/>
      <w:color w:val="auto"/>
    </w:rPr>
  </w:style>
  <w:style w:type="paragraph" w:customStyle="1" w:styleId="150">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151">
    <w:name w:val="CM38"/>
    <w:basedOn w:val="135"/>
    <w:next w:val="135"/>
    <w:qFormat/>
    <w:uiPriority w:val="0"/>
    <w:pPr>
      <w:spacing w:line="403" w:lineRule="atLeast"/>
    </w:pPr>
    <w:rPr>
      <w:color w:val="auto"/>
    </w:rPr>
  </w:style>
  <w:style w:type="paragraph" w:customStyle="1" w:styleId="152">
    <w:name w:val="CM1"/>
    <w:basedOn w:val="135"/>
    <w:next w:val="135"/>
    <w:qFormat/>
    <w:uiPriority w:val="0"/>
    <w:rPr>
      <w:rFonts w:cs="Times New Roman"/>
      <w:color w:val="auto"/>
    </w:rPr>
  </w:style>
  <w:style w:type="paragraph" w:customStyle="1" w:styleId="153">
    <w:name w:val="CM87"/>
    <w:basedOn w:val="135"/>
    <w:next w:val="135"/>
    <w:qFormat/>
    <w:uiPriority w:val="0"/>
    <w:pPr>
      <w:spacing w:line="403" w:lineRule="atLeast"/>
    </w:pPr>
    <w:rPr>
      <w:color w:val="auto"/>
    </w:rPr>
  </w:style>
  <w:style w:type="paragraph" w:customStyle="1" w:styleId="154">
    <w:name w:val="CM64"/>
    <w:basedOn w:val="135"/>
    <w:next w:val="135"/>
    <w:qFormat/>
    <w:uiPriority w:val="0"/>
    <w:pPr>
      <w:spacing w:line="403" w:lineRule="atLeast"/>
    </w:pPr>
    <w:rPr>
      <w:color w:val="auto"/>
    </w:rPr>
  </w:style>
  <w:style w:type="paragraph" w:customStyle="1" w:styleId="155">
    <w:name w:val="CM41"/>
    <w:basedOn w:val="135"/>
    <w:next w:val="135"/>
    <w:qFormat/>
    <w:uiPriority w:val="0"/>
    <w:pPr>
      <w:spacing w:line="403" w:lineRule="atLeast"/>
    </w:pPr>
    <w:rPr>
      <w:color w:val="auto"/>
    </w:rPr>
  </w:style>
  <w:style w:type="paragraph" w:customStyle="1" w:styleId="156">
    <w:name w:val="CM16"/>
    <w:basedOn w:val="135"/>
    <w:next w:val="135"/>
    <w:qFormat/>
    <w:uiPriority w:val="0"/>
    <w:pPr>
      <w:spacing w:line="403" w:lineRule="atLeast"/>
    </w:pPr>
    <w:rPr>
      <w:color w:val="auto"/>
    </w:rPr>
  </w:style>
  <w:style w:type="paragraph" w:customStyle="1" w:styleId="157">
    <w:name w:val="CM98"/>
    <w:basedOn w:val="135"/>
    <w:next w:val="135"/>
    <w:qFormat/>
    <w:uiPriority w:val="0"/>
    <w:pPr>
      <w:spacing w:after="303"/>
    </w:pPr>
    <w:rPr>
      <w:rFonts w:cs="Times New Roman"/>
      <w:color w:val="auto"/>
    </w:rPr>
  </w:style>
  <w:style w:type="paragraph" w:customStyle="1" w:styleId="158">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159">
    <w:name w:val="Char Char Char"/>
    <w:basedOn w:val="1"/>
    <w:qFormat/>
    <w:uiPriority w:val="0"/>
    <w:rPr>
      <w:rFonts w:ascii="Tahoma" w:hAnsi="Tahoma"/>
      <w:sz w:val="24"/>
    </w:rPr>
  </w:style>
  <w:style w:type="paragraph" w:customStyle="1" w:styleId="160">
    <w:name w:val="CM95"/>
    <w:basedOn w:val="135"/>
    <w:next w:val="135"/>
    <w:qFormat/>
    <w:uiPriority w:val="0"/>
    <w:pPr>
      <w:spacing w:line="403" w:lineRule="atLeast"/>
    </w:pPr>
    <w:rPr>
      <w:color w:val="auto"/>
    </w:rPr>
  </w:style>
  <w:style w:type="paragraph" w:customStyle="1" w:styleId="161">
    <w:name w:val="CM35"/>
    <w:basedOn w:val="135"/>
    <w:next w:val="135"/>
    <w:qFormat/>
    <w:uiPriority w:val="0"/>
    <w:pPr>
      <w:spacing w:line="403" w:lineRule="atLeast"/>
    </w:pPr>
    <w:rPr>
      <w:color w:val="auto"/>
    </w:rPr>
  </w:style>
  <w:style w:type="paragraph" w:customStyle="1" w:styleId="162">
    <w:name w:val="CM17"/>
    <w:basedOn w:val="135"/>
    <w:next w:val="135"/>
    <w:qFormat/>
    <w:uiPriority w:val="0"/>
    <w:pPr>
      <w:spacing w:line="403" w:lineRule="atLeast"/>
    </w:pPr>
    <w:rPr>
      <w:color w:val="auto"/>
    </w:rPr>
  </w:style>
  <w:style w:type="paragraph" w:customStyle="1" w:styleId="163">
    <w:name w:val="CM96"/>
    <w:basedOn w:val="135"/>
    <w:next w:val="135"/>
    <w:qFormat/>
    <w:uiPriority w:val="0"/>
    <w:pPr>
      <w:spacing w:after="1093"/>
    </w:pPr>
    <w:rPr>
      <w:rFonts w:cs="Times New Roman"/>
      <w:color w:val="auto"/>
    </w:rPr>
  </w:style>
  <w:style w:type="paragraph" w:customStyle="1" w:styleId="164">
    <w:name w:val="CM30"/>
    <w:basedOn w:val="135"/>
    <w:next w:val="135"/>
    <w:qFormat/>
    <w:uiPriority w:val="0"/>
    <w:rPr>
      <w:color w:val="auto"/>
    </w:rPr>
  </w:style>
  <w:style w:type="paragraph" w:customStyle="1" w:styleId="165">
    <w:name w:val="CM97"/>
    <w:basedOn w:val="135"/>
    <w:next w:val="135"/>
    <w:qFormat/>
    <w:uiPriority w:val="0"/>
    <w:pPr>
      <w:spacing w:after="133"/>
    </w:pPr>
    <w:rPr>
      <w:rFonts w:cs="Times New Roman"/>
      <w:color w:val="auto"/>
    </w:rPr>
  </w:style>
  <w:style w:type="paragraph" w:customStyle="1" w:styleId="166">
    <w:name w:val="CM70"/>
    <w:basedOn w:val="135"/>
    <w:next w:val="135"/>
    <w:qFormat/>
    <w:uiPriority w:val="0"/>
    <w:pPr>
      <w:spacing w:line="403" w:lineRule="atLeast"/>
    </w:pPr>
    <w:rPr>
      <w:color w:val="auto"/>
    </w:rPr>
  </w:style>
  <w:style w:type="paragraph" w:customStyle="1" w:styleId="167">
    <w:name w:val="CM42"/>
    <w:basedOn w:val="135"/>
    <w:next w:val="135"/>
    <w:qFormat/>
    <w:uiPriority w:val="0"/>
    <w:pPr>
      <w:spacing w:line="403" w:lineRule="atLeast"/>
    </w:pPr>
    <w:rPr>
      <w:color w:val="auto"/>
    </w:rPr>
  </w:style>
  <w:style w:type="paragraph" w:customStyle="1" w:styleId="168">
    <w:name w:val="CM99"/>
    <w:basedOn w:val="135"/>
    <w:next w:val="135"/>
    <w:qFormat/>
    <w:uiPriority w:val="0"/>
    <w:pPr>
      <w:spacing w:after="813"/>
    </w:pPr>
    <w:rPr>
      <w:rFonts w:cs="Times New Roman"/>
      <w:color w:val="auto"/>
    </w:rPr>
  </w:style>
  <w:style w:type="paragraph" w:customStyle="1" w:styleId="169">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1">
    <w:name w:val="Char"/>
    <w:basedOn w:val="1"/>
    <w:qFormat/>
    <w:uiPriority w:val="0"/>
    <w:rPr>
      <w:rFonts w:ascii="Tahoma" w:hAnsi="Tahoma"/>
      <w:sz w:val="24"/>
    </w:rPr>
  </w:style>
  <w:style w:type="paragraph" w:customStyle="1" w:styleId="172">
    <w:name w:val="CM79"/>
    <w:basedOn w:val="135"/>
    <w:next w:val="135"/>
    <w:qFormat/>
    <w:uiPriority w:val="0"/>
    <w:rPr>
      <w:color w:val="auto"/>
    </w:rPr>
  </w:style>
  <w:style w:type="paragraph" w:customStyle="1" w:styleId="173">
    <w:name w:val="CM102"/>
    <w:basedOn w:val="135"/>
    <w:next w:val="135"/>
    <w:qFormat/>
    <w:uiPriority w:val="0"/>
    <w:pPr>
      <w:spacing w:after="595"/>
    </w:pPr>
    <w:rPr>
      <w:rFonts w:cs="Times New Roman"/>
      <w:color w:val="auto"/>
    </w:rPr>
  </w:style>
  <w:style w:type="paragraph" w:customStyle="1" w:styleId="174">
    <w:name w:val="CM74"/>
    <w:basedOn w:val="135"/>
    <w:next w:val="135"/>
    <w:qFormat/>
    <w:uiPriority w:val="0"/>
    <w:rPr>
      <w:color w:val="auto"/>
    </w:rPr>
  </w:style>
  <w:style w:type="paragraph" w:customStyle="1" w:styleId="175">
    <w:name w:val="CM50"/>
    <w:basedOn w:val="135"/>
    <w:next w:val="135"/>
    <w:qFormat/>
    <w:uiPriority w:val="0"/>
    <w:pPr>
      <w:spacing w:line="403" w:lineRule="atLeast"/>
    </w:pPr>
    <w:rPr>
      <w:color w:val="auto"/>
    </w:rPr>
  </w:style>
  <w:style w:type="paragraph" w:customStyle="1" w:styleId="176">
    <w:name w:val="CM103"/>
    <w:basedOn w:val="135"/>
    <w:next w:val="135"/>
    <w:qFormat/>
    <w:uiPriority w:val="0"/>
    <w:pPr>
      <w:spacing w:after="1143"/>
    </w:pPr>
    <w:rPr>
      <w:rFonts w:cs="Times New Roman"/>
      <w:color w:val="auto"/>
    </w:rPr>
  </w:style>
  <w:style w:type="paragraph" w:customStyle="1" w:styleId="177">
    <w:name w:val="标题 11"/>
    <w:next w:val="1"/>
    <w:qFormat/>
    <w:uiPriority w:val="0"/>
    <w:pPr>
      <w:keepNext/>
      <w:keepLines/>
      <w:widowControl w:val="0"/>
      <w:spacing w:before="480"/>
      <w:jc w:val="both"/>
      <w:outlineLvl w:val="0"/>
    </w:pPr>
    <w:rPr>
      <w:rFonts w:ascii="Cambria" w:hAnsi="Cambria" w:eastAsia="Cambria" w:cs="Cambria"/>
      <w:b/>
      <w:bCs/>
      <w:color w:val="365F91"/>
      <w:kern w:val="0"/>
      <w:sz w:val="28"/>
      <w:szCs w:val="28"/>
      <w:u w:color="365F91"/>
      <w:lang w:val="en-US" w:eastAsia="zh-CN" w:bidi="ar-SA"/>
    </w:rPr>
  </w:style>
  <w:style w:type="paragraph" w:customStyle="1" w:styleId="178">
    <w:name w:val="CM107"/>
    <w:basedOn w:val="135"/>
    <w:next w:val="135"/>
    <w:qFormat/>
    <w:uiPriority w:val="0"/>
    <w:pPr>
      <w:spacing w:after="550"/>
    </w:pPr>
    <w:rPr>
      <w:color w:val="auto"/>
    </w:rPr>
  </w:style>
  <w:style w:type="paragraph" w:customStyle="1" w:styleId="179">
    <w:name w:val="CM2"/>
    <w:basedOn w:val="135"/>
    <w:next w:val="135"/>
    <w:qFormat/>
    <w:uiPriority w:val="0"/>
    <w:rPr>
      <w:color w:val="auto"/>
    </w:rPr>
  </w:style>
  <w:style w:type="paragraph" w:customStyle="1" w:styleId="180">
    <w:name w:val="CM81"/>
    <w:basedOn w:val="135"/>
    <w:next w:val="135"/>
    <w:qFormat/>
    <w:uiPriority w:val="0"/>
    <w:pPr>
      <w:spacing w:line="403" w:lineRule="atLeast"/>
    </w:pPr>
    <w:rPr>
      <w:color w:val="auto"/>
    </w:rPr>
  </w:style>
  <w:style w:type="paragraph" w:customStyle="1" w:styleId="181">
    <w:name w:val="CM45"/>
    <w:basedOn w:val="135"/>
    <w:next w:val="135"/>
    <w:qFormat/>
    <w:uiPriority w:val="0"/>
    <w:pPr>
      <w:spacing w:line="403" w:lineRule="atLeast"/>
    </w:pPr>
    <w:rPr>
      <w:color w:val="auto"/>
    </w:rPr>
  </w:style>
  <w:style w:type="paragraph" w:customStyle="1" w:styleId="182">
    <w:name w:val="CM4"/>
    <w:basedOn w:val="135"/>
    <w:next w:val="135"/>
    <w:qFormat/>
    <w:uiPriority w:val="0"/>
    <w:pPr>
      <w:spacing w:line="371" w:lineRule="atLeast"/>
    </w:pPr>
    <w:rPr>
      <w:color w:val="auto"/>
    </w:rPr>
  </w:style>
  <w:style w:type="paragraph" w:customStyle="1" w:styleId="183">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paragraph" w:customStyle="1" w:styleId="184">
    <w:name w:val="CM100"/>
    <w:basedOn w:val="135"/>
    <w:next w:val="135"/>
    <w:qFormat/>
    <w:uiPriority w:val="0"/>
    <w:pPr>
      <w:spacing w:after="1210"/>
    </w:pPr>
    <w:rPr>
      <w:color w:val="auto"/>
    </w:rPr>
  </w:style>
  <w:style w:type="paragraph" w:customStyle="1" w:styleId="185">
    <w:name w:val="正文 A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86">
    <w:name w:val="表文字"/>
    <w:basedOn w:val="13"/>
    <w:qFormat/>
    <w:uiPriority w:val="0"/>
    <w:pPr>
      <w:autoSpaceDE w:val="0"/>
      <w:autoSpaceDN w:val="0"/>
      <w:ind w:firstLine="0" w:firstLineChars="0"/>
      <w:jc w:val="center"/>
    </w:pPr>
    <w:rPr>
      <w:kern w:val="21"/>
      <w:sz w:val="15"/>
    </w:rPr>
  </w:style>
  <w:style w:type="paragraph" w:customStyle="1" w:styleId="187">
    <w:name w:val="CM82"/>
    <w:basedOn w:val="135"/>
    <w:next w:val="135"/>
    <w:qFormat/>
    <w:uiPriority w:val="0"/>
    <w:pPr>
      <w:spacing w:line="403" w:lineRule="atLeast"/>
    </w:pPr>
    <w:rPr>
      <w:color w:val="auto"/>
    </w:rPr>
  </w:style>
  <w:style w:type="paragraph" w:customStyle="1" w:styleId="188">
    <w:name w:val="CM49"/>
    <w:basedOn w:val="135"/>
    <w:next w:val="135"/>
    <w:qFormat/>
    <w:uiPriority w:val="0"/>
    <w:pPr>
      <w:spacing w:line="403" w:lineRule="atLeast"/>
    </w:pPr>
    <w:rPr>
      <w:color w:val="auto"/>
    </w:rPr>
  </w:style>
  <w:style w:type="paragraph" w:customStyle="1" w:styleId="189">
    <w:name w:val="CM101"/>
    <w:basedOn w:val="135"/>
    <w:next w:val="135"/>
    <w:qFormat/>
    <w:uiPriority w:val="0"/>
    <w:pPr>
      <w:spacing w:after="605"/>
    </w:pPr>
    <w:rPr>
      <w:color w:val="auto"/>
    </w:rPr>
  </w:style>
  <w:style w:type="character" w:customStyle="1" w:styleId="190">
    <w:name w:val="z-窗体顶端 Char"/>
    <w:basedOn w:val="50"/>
    <w:qFormat/>
    <w:uiPriority w:val="99"/>
    <w:rPr>
      <w:rFonts w:ascii="Arial" w:hAnsi="Arial" w:eastAsia="宋体" w:cs="Arial"/>
      <w:vanish/>
      <w:sz w:val="16"/>
      <w:szCs w:val="16"/>
    </w:rPr>
  </w:style>
  <w:style w:type="paragraph" w:customStyle="1" w:styleId="191">
    <w:name w:val="CM32"/>
    <w:basedOn w:val="135"/>
    <w:next w:val="135"/>
    <w:qFormat/>
    <w:uiPriority w:val="0"/>
    <w:pPr>
      <w:spacing w:line="403" w:lineRule="atLeast"/>
    </w:pPr>
    <w:rPr>
      <w:color w:val="auto"/>
    </w:rPr>
  </w:style>
  <w:style w:type="paragraph" w:customStyle="1" w:styleId="192">
    <w:name w:val="CM6"/>
    <w:basedOn w:val="135"/>
    <w:next w:val="135"/>
    <w:qFormat/>
    <w:uiPriority w:val="0"/>
    <w:pPr>
      <w:spacing w:line="1156" w:lineRule="atLeast"/>
    </w:pPr>
    <w:rPr>
      <w:color w:val="auto"/>
    </w:rPr>
  </w:style>
  <w:style w:type="paragraph" w:customStyle="1" w:styleId="193">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默认段落字体 Para Char"/>
    <w:basedOn w:val="1"/>
    <w:qFormat/>
    <w:uiPriority w:val="0"/>
    <w:pPr>
      <w:tabs>
        <w:tab w:val="left" w:pos="360"/>
      </w:tabs>
      <w:spacing w:before="312" w:after="312" w:line="360" w:lineRule="auto"/>
    </w:pPr>
  </w:style>
  <w:style w:type="paragraph" w:customStyle="1" w:styleId="195">
    <w:name w:val="CM105"/>
    <w:basedOn w:val="135"/>
    <w:next w:val="135"/>
    <w:qFormat/>
    <w:uiPriority w:val="0"/>
    <w:pPr>
      <w:spacing w:after="108"/>
    </w:pPr>
    <w:rPr>
      <w:color w:val="auto"/>
    </w:rPr>
  </w:style>
  <w:style w:type="paragraph" w:customStyle="1" w:styleId="196">
    <w:name w:val="CM7"/>
    <w:basedOn w:val="135"/>
    <w:next w:val="135"/>
    <w:qFormat/>
    <w:uiPriority w:val="0"/>
    <w:pPr>
      <w:spacing w:line="403" w:lineRule="atLeast"/>
    </w:pPr>
    <w:rPr>
      <w:color w:val="auto"/>
    </w:rPr>
  </w:style>
  <w:style w:type="paragraph" w:customStyle="1" w:styleId="19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8">
    <w:name w:val="CM73"/>
    <w:basedOn w:val="135"/>
    <w:next w:val="135"/>
    <w:qFormat/>
    <w:uiPriority w:val="0"/>
    <w:rPr>
      <w:color w:val="auto"/>
    </w:rPr>
  </w:style>
  <w:style w:type="paragraph" w:customStyle="1" w:styleId="199">
    <w:name w:val="CM65"/>
    <w:basedOn w:val="135"/>
    <w:next w:val="135"/>
    <w:qFormat/>
    <w:uiPriority w:val="0"/>
    <w:rPr>
      <w:color w:val="auto"/>
    </w:rPr>
  </w:style>
  <w:style w:type="paragraph" w:customStyle="1" w:styleId="200">
    <w:name w:val="CM8"/>
    <w:basedOn w:val="135"/>
    <w:next w:val="135"/>
    <w:qFormat/>
    <w:uiPriority w:val="0"/>
    <w:pPr>
      <w:spacing w:line="403" w:lineRule="atLeast"/>
    </w:pPr>
    <w:rPr>
      <w:color w:val="auto"/>
    </w:rPr>
  </w:style>
  <w:style w:type="paragraph" w:customStyle="1" w:styleId="201">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2">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03">
    <w:name w:val="CM9"/>
    <w:basedOn w:val="135"/>
    <w:next w:val="135"/>
    <w:qFormat/>
    <w:uiPriority w:val="0"/>
    <w:pPr>
      <w:spacing w:line="403" w:lineRule="atLeast"/>
    </w:pPr>
    <w:rPr>
      <w:color w:val="auto"/>
    </w:rPr>
  </w:style>
  <w:style w:type="paragraph" w:customStyle="1" w:styleId="204">
    <w:name w:val="CM52"/>
    <w:basedOn w:val="135"/>
    <w:next w:val="135"/>
    <w:qFormat/>
    <w:uiPriority w:val="0"/>
    <w:pPr>
      <w:spacing w:line="280" w:lineRule="atLeast"/>
    </w:pPr>
    <w:rPr>
      <w:color w:val="auto"/>
    </w:rPr>
  </w:style>
  <w:style w:type="paragraph" w:customStyle="1" w:styleId="205">
    <w:name w:val="CM10"/>
    <w:basedOn w:val="135"/>
    <w:next w:val="135"/>
    <w:qFormat/>
    <w:uiPriority w:val="0"/>
    <w:pPr>
      <w:spacing w:line="403" w:lineRule="atLeast"/>
    </w:pPr>
    <w:rPr>
      <w:color w:val="auto"/>
    </w:rPr>
  </w:style>
  <w:style w:type="paragraph" w:customStyle="1" w:styleId="206">
    <w:name w:val="Char Char Char Char1"/>
    <w:basedOn w:val="1"/>
    <w:qFormat/>
    <w:uiPriority w:val="0"/>
    <w:rPr>
      <w:rFonts w:ascii="Tahoma" w:hAnsi="Tahoma"/>
      <w:sz w:val="24"/>
    </w:rPr>
  </w:style>
  <w:style w:type="paragraph" w:customStyle="1" w:styleId="207">
    <w:name w:val="CM104"/>
    <w:basedOn w:val="135"/>
    <w:next w:val="135"/>
    <w:qFormat/>
    <w:uiPriority w:val="0"/>
    <w:pPr>
      <w:spacing w:after="493"/>
    </w:pPr>
    <w:rPr>
      <w:color w:val="auto"/>
    </w:rPr>
  </w:style>
  <w:style w:type="paragraph" w:customStyle="1" w:styleId="208">
    <w:name w:val="Char1"/>
    <w:basedOn w:val="1"/>
    <w:qFormat/>
    <w:uiPriority w:val="0"/>
    <w:rPr>
      <w:rFonts w:ascii="Tahoma" w:hAnsi="Tahoma"/>
      <w:sz w:val="24"/>
    </w:rPr>
  </w:style>
  <w:style w:type="paragraph" w:customStyle="1" w:styleId="209">
    <w:name w:val="CM56"/>
    <w:basedOn w:val="135"/>
    <w:next w:val="135"/>
    <w:qFormat/>
    <w:uiPriority w:val="0"/>
    <w:pPr>
      <w:spacing w:line="403" w:lineRule="atLeast"/>
    </w:pPr>
    <w:rPr>
      <w:color w:val="auto"/>
    </w:rPr>
  </w:style>
  <w:style w:type="paragraph" w:customStyle="1" w:styleId="210">
    <w:name w:val="CM11"/>
    <w:basedOn w:val="135"/>
    <w:next w:val="135"/>
    <w:qFormat/>
    <w:uiPriority w:val="0"/>
    <w:pPr>
      <w:spacing w:line="403" w:lineRule="atLeast"/>
    </w:pPr>
    <w:rPr>
      <w:color w:val="auto"/>
    </w:rPr>
  </w:style>
  <w:style w:type="paragraph" w:customStyle="1" w:styleId="211">
    <w:name w:val="CM12"/>
    <w:basedOn w:val="135"/>
    <w:next w:val="135"/>
    <w:qFormat/>
    <w:uiPriority w:val="0"/>
    <w:pPr>
      <w:spacing w:line="403" w:lineRule="atLeast"/>
    </w:pPr>
    <w:rPr>
      <w:color w:val="auto"/>
    </w:rPr>
  </w:style>
  <w:style w:type="paragraph" w:customStyle="1" w:styleId="21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13">
    <w:name w:val="Char Char1 Char Char1"/>
    <w:basedOn w:val="1"/>
    <w:qFormat/>
    <w:uiPriority w:val="0"/>
    <w:rPr>
      <w:rFonts w:ascii="Tahoma" w:hAnsi="Tahoma"/>
      <w:sz w:val="24"/>
    </w:rPr>
  </w:style>
  <w:style w:type="paragraph" w:customStyle="1" w:styleId="214">
    <w:name w:val="CM89"/>
    <w:basedOn w:val="135"/>
    <w:next w:val="135"/>
    <w:qFormat/>
    <w:uiPriority w:val="0"/>
    <w:pPr>
      <w:spacing w:line="403" w:lineRule="atLeast"/>
    </w:pPr>
    <w:rPr>
      <w:color w:val="auto"/>
    </w:rPr>
  </w:style>
  <w:style w:type="paragraph" w:customStyle="1" w:styleId="215">
    <w:name w:val="CM13"/>
    <w:basedOn w:val="135"/>
    <w:next w:val="135"/>
    <w:qFormat/>
    <w:uiPriority w:val="0"/>
    <w:pPr>
      <w:spacing w:line="403" w:lineRule="atLeast"/>
    </w:pPr>
    <w:rPr>
      <w:color w:val="auto"/>
    </w:rPr>
  </w:style>
  <w:style w:type="paragraph" w:customStyle="1" w:styleId="216">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17">
    <w:name w:val="CM67"/>
    <w:basedOn w:val="135"/>
    <w:next w:val="135"/>
    <w:qFormat/>
    <w:uiPriority w:val="0"/>
    <w:pPr>
      <w:spacing w:line="403" w:lineRule="atLeast"/>
    </w:pPr>
    <w:rPr>
      <w:color w:val="auto"/>
    </w:rPr>
  </w:style>
  <w:style w:type="paragraph" w:customStyle="1" w:styleId="218">
    <w:name w:val="CM14"/>
    <w:basedOn w:val="135"/>
    <w:next w:val="135"/>
    <w:qFormat/>
    <w:uiPriority w:val="0"/>
    <w:pPr>
      <w:spacing w:line="403" w:lineRule="atLeast"/>
    </w:pPr>
    <w:rPr>
      <w:color w:val="auto"/>
    </w:rPr>
  </w:style>
  <w:style w:type="paragraph" w:customStyle="1" w:styleId="219">
    <w:name w:val="CM15"/>
    <w:basedOn w:val="135"/>
    <w:next w:val="135"/>
    <w:qFormat/>
    <w:uiPriority w:val="0"/>
    <w:pPr>
      <w:spacing w:line="403" w:lineRule="atLeast"/>
    </w:pPr>
    <w:rPr>
      <w:color w:val="auto"/>
    </w:rPr>
  </w:style>
  <w:style w:type="paragraph" w:customStyle="1" w:styleId="220">
    <w:name w:val="CM90"/>
    <w:basedOn w:val="135"/>
    <w:next w:val="135"/>
    <w:qFormat/>
    <w:uiPriority w:val="0"/>
    <w:pPr>
      <w:spacing w:line="403" w:lineRule="atLeast"/>
    </w:pPr>
    <w:rPr>
      <w:color w:val="auto"/>
    </w:rPr>
  </w:style>
  <w:style w:type="paragraph" w:customStyle="1" w:styleId="221">
    <w:name w:val="CM34"/>
    <w:basedOn w:val="135"/>
    <w:next w:val="135"/>
    <w:qFormat/>
    <w:uiPriority w:val="0"/>
    <w:pPr>
      <w:spacing w:line="403" w:lineRule="atLeast"/>
    </w:pPr>
    <w:rPr>
      <w:color w:val="auto"/>
    </w:rPr>
  </w:style>
  <w:style w:type="paragraph" w:customStyle="1" w:styleId="222">
    <w:name w:val="CM18"/>
    <w:basedOn w:val="135"/>
    <w:next w:val="135"/>
    <w:qFormat/>
    <w:uiPriority w:val="0"/>
    <w:pPr>
      <w:spacing w:line="403" w:lineRule="atLeast"/>
    </w:pPr>
    <w:rPr>
      <w:color w:val="auto"/>
    </w:rPr>
  </w:style>
  <w:style w:type="paragraph" w:customStyle="1" w:styleId="223">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24">
    <w:name w:val="Char Char Char Char Char Char Char Char Char Char Char Char Char Char Char Char1"/>
    <w:basedOn w:val="1"/>
    <w:semiHidden/>
    <w:qFormat/>
    <w:uiPriority w:val="0"/>
    <w:pPr>
      <w:tabs>
        <w:tab w:val="left" w:pos="360"/>
      </w:tabs>
    </w:pPr>
    <w:rPr>
      <w:sz w:val="24"/>
      <w:szCs w:val="24"/>
    </w:rPr>
  </w:style>
  <w:style w:type="paragraph" w:customStyle="1" w:styleId="225">
    <w:name w:val="CM20"/>
    <w:basedOn w:val="135"/>
    <w:next w:val="135"/>
    <w:qFormat/>
    <w:uiPriority w:val="0"/>
    <w:pPr>
      <w:spacing w:line="403" w:lineRule="atLeast"/>
    </w:pPr>
    <w:rPr>
      <w:color w:val="auto"/>
    </w:rPr>
  </w:style>
  <w:style w:type="paragraph" w:customStyle="1" w:styleId="226">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27">
    <w:name w:val="CM72"/>
    <w:basedOn w:val="135"/>
    <w:next w:val="135"/>
    <w:qFormat/>
    <w:uiPriority w:val="0"/>
    <w:rPr>
      <w:color w:val="auto"/>
    </w:rPr>
  </w:style>
  <w:style w:type="paragraph" w:customStyle="1" w:styleId="228">
    <w:name w:val="CM48"/>
    <w:basedOn w:val="135"/>
    <w:next w:val="135"/>
    <w:qFormat/>
    <w:uiPriority w:val="0"/>
    <w:pPr>
      <w:spacing w:line="403" w:lineRule="atLeast"/>
    </w:pPr>
    <w:rPr>
      <w:color w:val="auto"/>
    </w:rPr>
  </w:style>
  <w:style w:type="paragraph" w:customStyle="1" w:styleId="229">
    <w:name w:val="CM21"/>
    <w:basedOn w:val="135"/>
    <w:next w:val="135"/>
    <w:qFormat/>
    <w:uiPriority w:val="0"/>
    <w:pPr>
      <w:spacing w:line="403" w:lineRule="atLeast"/>
    </w:pPr>
    <w:rPr>
      <w:color w:val="auto"/>
    </w:rPr>
  </w:style>
  <w:style w:type="paragraph" w:customStyle="1" w:styleId="230">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1">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32">
    <w:name w:val="CM57"/>
    <w:basedOn w:val="135"/>
    <w:next w:val="135"/>
    <w:qFormat/>
    <w:uiPriority w:val="0"/>
    <w:pPr>
      <w:spacing w:line="403" w:lineRule="atLeast"/>
    </w:pPr>
    <w:rPr>
      <w:color w:val="auto"/>
    </w:rPr>
  </w:style>
  <w:style w:type="paragraph" w:customStyle="1" w:styleId="233">
    <w:name w:val="CM28"/>
    <w:basedOn w:val="135"/>
    <w:next w:val="135"/>
    <w:qFormat/>
    <w:uiPriority w:val="0"/>
    <w:pPr>
      <w:spacing w:line="403" w:lineRule="atLeast"/>
    </w:pPr>
    <w:rPr>
      <w:color w:val="auto"/>
    </w:rPr>
  </w:style>
  <w:style w:type="paragraph" w:customStyle="1" w:styleId="234">
    <w:name w:val="CM22"/>
    <w:basedOn w:val="135"/>
    <w:next w:val="135"/>
    <w:qFormat/>
    <w:uiPriority w:val="0"/>
    <w:pPr>
      <w:spacing w:line="403" w:lineRule="atLeast"/>
    </w:pPr>
    <w:rPr>
      <w:color w:val="auto"/>
    </w:rPr>
  </w:style>
  <w:style w:type="paragraph" w:customStyle="1" w:styleId="235">
    <w:name w:val="CM36"/>
    <w:basedOn w:val="135"/>
    <w:next w:val="135"/>
    <w:qFormat/>
    <w:uiPriority w:val="0"/>
    <w:pPr>
      <w:spacing w:line="403" w:lineRule="atLeast"/>
    </w:pPr>
    <w:rPr>
      <w:color w:val="auto"/>
    </w:rPr>
  </w:style>
  <w:style w:type="paragraph" w:customStyle="1" w:styleId="236">
    <w:name w:val="CM23"/>
    <w:basedOn w:val="135"/>
    <w:next w:val="135"/>
    <w:qFormat/>
    <w:uiPriority w:val="0"/>
    <w:pPr>
      <w:spacing w:line="403" w:lineRule="atLeast"/>
    </w:pPr>
    <w:rPr>
      <w:color w:val="auto"/>
    </w:rPr>
  </w:style>
  <w:style w:type="paragraph" w:customStyle="1" w:styleId="237">
    <w:name w:val="CM75"/>
    <w:basedOn w:val="135"/>
    <w:next w:val="135"/>
    <w:qFormat/>
    <w:uiPriority w:val="0"/>
    <w:pPr>
      <w:spacing w:line="398" w:lineRule="atLeast"/>
    </w:pPr>
    <w:rPr>
      <w:color w:val="auto"/>
    </w:rPr>
  </w:style>
  <w:style w:type="paragraph" w:customStyle="1" w:styleId="238">
    <w:name w:val="CM24"/>
    <w:basedOn w:val="135"/>
    <w:next w:val="135"/>
    <w:qFormat/>
    <w:uiPriority w:val="0"/>
    <w:rPr>
      <w:color w:val="auto"/>
    </w:rPr>
  </w:style>
  <w:style w:type="paragraph" w:customStyle="1" w:styleId="239">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40">
    <w:name w:val="CM25"/>
    <w:basedOn w:val="135"/>
    <w:next w:val="135"/>
    <w:qFormat/>
    <w:uiPriority w:val="0"/>
    <w:pPr>
      <w:spacing w:line="403" w:lineRule="atLeast"/>
    </w:pPr>
    <w:rPr>
      <w:color w:val="auto"/>
    </w:rPr>
  </w:style>
  <w:style w:type="paragraph" w:customStyle="1" w:styleId="2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42">
    <w:name w:val="CM86"/>
    <w:basedOn w:val="135"/>
    <w:next w:val="135"/>
    <w:qFormat/>
    <w:uiPriority w:val="0"/>
    <w:pPr>
      <w:spacing w:line="403" w:lineRule="atLeast"/>
    </w:pPr>
    <w:rPr>
      <w:color w:val="auto"/>
    </w:rPr>
  </w:style>
  <w:style w:type="paragraph" w:customStyle="1" w:styleId="243">
    <w:name w:val="CM26"/>
    <w:basedOn w:val="135"/>
    <w:next w:val="135"/>
    <w:qFormat/>
    <w:uiPriority w:val="0"/>
    <w:rPr>
      <w:color w:val="auto"/>
    </w:rPr>
  </w:style>
  <w:style w:type="paragraph" w:customStyle="1" w:styleId="244">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45">
    <w:name w:val="CM84"/>
    <w:basedOn w:val="135"/>
    <w:next w:val="135"/>
    <w:qFormat/>
    <w:uiPriority w:val="0"/>
    <w:pPr>
      <w:spacing w:line="403" w:lineRule="atLeast"/>
    </w:pPr>
    <w:rPr>
      <w:color w:val="auto"/>
    </w:rPr>
  </w:style>
  <w:style w:type="paragraph" w:customStyle="1" w:styleId="246">
    <w:name w:val="CM29"/>
    <w:basedOn w:val="135"/>
    <w:next w:val="135"/>
    <w:qFormat/>
    <w:uiPriority w:val="0"/>
    <w:pPr>
      <w:spacing w:line="403" w:lineRule="atLeast"/>
    </w:pPr>
    <w:rPr>
      <w:color w:val="auto"/>
    </w:rPr>
  </w:style>
  <w:style w:type="paragraph" w:customStyle="1" w:styleId="247">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48">
    <w:name w:val="CM92"/>
    <w:basedOn w:val="135"/>
    <w:next w:val="135"/>
    <w:qFormat/>
    <w:uiPriority w:val="0"/>
    <w:rPr>
      <w:color w:val="auto"/>
    </w:rPr>
  </w:style>
  <w:style w:type="paragraph" w:customStyle="1" w:styleId="249">
    <w:name w:val="CM40"/>
    <w:basedOn w:val="135"/>
    <w:next w:val="135"/>
    <w:qFormat/>
    <w:uiPriority w:val="0"/>
    <w:rPr>
      <w:color w:val="auto"/>
    </w:rPr>
  </w:style>
  <w:style w:type="paragraph" w:customStyle="1" w:styleId="250">
    <w:name w:val="CM33"/>
    <w:basedOn w:val="135"/>
    <w:next w:val="135"/>
    <w:qFormat/>
    <w:uiPriority w:val="0"/>
    <w:pPr>
      <w:spacing w:line="403" w:lineRule="atLeast"/>
    </w:pPr>
    <w:rPr>
      <w:color w:val="auto"/>
    </w:rPr>
  </w:style>
  <w:style w:type="paragraph" w:customStyle="1" w:styleId="251">
    <w:name w:val="CM66"/>
    <w:basedOn w:val="135"/>
    <w:next w:val="135"/>
    <w:qFormat/>
    <w:uiPriority w:val="0"/>
    <w:pPr>
      <w:spacing w:line="403" w:lineRule="atLeast"/>
    </w:pPr>
    <w:rPr>
      <w:color w:val="auto"/>
    </w:rPr>
  </w:style>
  <w:style w:type="paragraph" w:customStyle="1" w:styleId="252">
    <w:name w:val="CM37"/>
    <w:basedOn w:val="135"/>
    <w:next w:val="135"/>
    <w:qFormat/>
    <w:uiPriority w:val="0"/>
    <w:pPr>
      <w:spacing w:line="403" w:lineRule="atLeast"/>
    </w:pPr>
    <w:rPr>
      <w:color w:val="auto"/>
    </w:rPr>
  </w:style>
  <w:style w:type="paragraph" w:customStyle="1" w:styleId="253">
    <w:name w:val="表格文字"/>
    <w:next w:val="1"/>
    <w:qFormat/>
    <w:uiPriority w:val="0"/>
    <w:pPr>
      <w:adjustRightInd w:val="0"/>
      <w:snapToGrid w:val="0"/>
      <w:jc w:val="center"/>
    </w:pPr>
    <w:rPr>
      <w:rFonts w:ascii="Times New Roman" w:hAnsi="Times New Roman" w:eastAsia="宋体" w:cs="Times New Roman"/>
      <w:snapToGrid w:val="0"/>
      <w:kern w:val="21"/>
      <w:sz w:val="21"/>
      <w:szCs w:val="20"/>
      <w:lang w:val="en-US" w:eastAsia="zh-CN" w:bidi="ar-SA"/>
    </w:rPr>
  </w:style>
  <w:style w:type="paragraph" w:customStyle="1" w:styleId="254">
    <w:name w:val="CM91"/>
    <w:basedOn w:val="135"/>
    <w:next w:val="135"/>
    <w:qFormat/>
    <w:uiPriority w:val="0"/>
    <w:pPr>
      <w:spacing w:line="403" w:lineRule="atLeast"/>
    </w:pPr>
    <w:rPr>
      <w:color w:val="auto"/>
    </w:rPr>
  </w:style>
  <w:style w:type="paragraph" w:customStyle="1" w:styleId="255">
    <w:name w:val="CM62"/>
    <w:basedOn w:val="135"/>
    <w:next w:val="135"/>
    <w:qFormat/>
    <w:uiPriority w:val="0"/>
    <w:pPr>
      <w:spacing w:line="403" w:lineRule="atLeast"/>
    </w:pPr>
    <w:rPr>
      <w:color w:val="auto"/>
    </w:rPr>
  </w:style>
  <w:style w:type="paragraph" w:customStyle="1" w:styleId="256">
    <w:name w:val="CM39"/>
    <w:basedOn w:val="135"/>
    <w:next w:val="135"/>
    <w:qFormat/>
    <w:uiPriority w:val="0"/>
    <w:pPr>
      <w:spacing w:line="403" w:lineRule="atLeast"/>
    </w:pPr>
    <w:rPr>
      <w:color w:val="auto"/>
    </w:rPr>
  </w:style>
  <w:style w:type="paragraph" w:customStyle="1" w:styleId="25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59">
    <w:name w:val="Char Char1 Char Char1 Char Char"/>
    <w:basedOn w:val="1"/>
    <w:qFormat/>
    <w:uiPriority w:val="0"/>
    <w:rPr>
      <w:rFonts w:ascii="Tahoma" w:hAnsi="Tahoma"/>
      <w:sz w:val="24"/>
    </w:rPr>
  </w:style>
  <w:style w:type="paragraph" w:customStyle="1" w:styleId="260">
    <w:name w:val="图"/>
    <w:basedOn w:val="13"/>
    <w:qFormat/>
    <w:uiPriority w:val="0"/>
    <w:pPr>
      <w:autoSpaceDE w:val="0"/>
      <w:autoSpaceDN w:val="0"/>
      <w:spacing w:beforeLines="50"/>
      <w:ind w:firstLine="0" w:firstLineChars="0"/>
      <w:jc w:val="center"/>
    </w:pPr>
    <w:rPr>
      <w:kern w:val="21"/>
      <w:sz w:val="24"/>
    </w:rPr>
  </w:style>
  <w:style w:type="paragraph" w:customStyle="1" w:styleId="261">
    <w:name w:val="CM44"/>
    <w:basedOn w:val="135"/>
    <w:next w:val="135"/>
    <w:qFormat/>
    <w:uiPriority w:val="0"/>
    <w:pPr>
      <w:spacing w:line="403" w:lineRule="atLeast"/>
    </w:pPr>
    <w:rPr>
      <w:color w:val="auto"/>
    </w:rPr>
  </w:style>
  <w:style w:type="paragraph" w:customStyle="1" w:styleId="262">
    <w:name w:val="MD1_L6"/>
    <w:basedOn w:val="1"/>
    <w:qFormat/>
    <w:uiPriority w:val="0"/>
    <w:pPr>
      <w:widowControl/>
      <w:tabs>
        <w:tab w:val="left" w:pos="720"/>
      </w:tabs>
      <w:spacing w:after="240"/>
      <w:outlineLvl w:val="5"/>
    </w:pPr>
    <w:rPr>
      <w:kern w:val="0"/>
      <w:sz w:val="24"/>
      <w:lang w:eastAsia="en-US"/>
    </w:rPr>
  </w:style>
  <w:style w:type="paragraph" w:customStyle="1" w:styleId="263">
    <w:name w:val="CM46"/>
    <w:basedOn w:val="135"/>
    <w:next w:val="135"/>
    <w:qFormat/>
    <w:uiPriority w:val="0"/>
    <w:pPr>
      <w:spacing w:line="403" w:lineRule="atLeast"/>
    </w:pPr>
    <w:rPr>
      <w:color w:val="auto"/>
    </w:rPr>
  </w:style>
  <w:style w:type="paragraph" w:customStyle="1" w:styleId="264">
    <w:name w:val="正文 A"/>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265">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6">
    <w:name w:val="参考文献"/>
    <w:basedOn w:val="13"/>
    <w:qFormat/>
    <w:uiPriority w:val="0"/>
    <w:pPr>
      <w:autoSpaceDE w:val="0"/>
      <w:autoSpaceDN w:val="0"/>
      <w:spacing w:line="270" w:lineRule="exact"/>
      <w:ind w:firstLine="360"/>
    </w:pPr>
    <w:rPr>
      <w:kern w:val="21"/>
      <w:sz w:val="18"/>
    </w:rPr>
  </w:style>
  <w:style w:type="paragraph" w:customStyle="1" w:styleId="267">
    <w:name w:val="CM47"/>
    <w:basedOn w:val="135"/>
    <w:next w:val="135"/>
    <w:qFormat/>
    <w:uiPriority w:val="0"/>
    <w:pPr>
      <w:spacing w:line="403" w:lineRule="atLeast"/>
    </w:pPr>
    <w:rPr>
      <w:color w:val="auto"/>
    </w:rPr>
  </w:style>
  <w:style w:type="character" w:customStyle="1" w:styleId="268">
    <w:name w:val="z-窗体底端 Char"/>
    <w:basedOn w:val="50"/>
    <w:qFormat/>
    <w:uiPriority w:val="99"/>
    <w:rPr>
      <w:rFonts w:ascii="Arial" w:hAnsi="Arial" w:eastAsia="宋体" w:cs="Arial"/>
      <w:vanish/>
      <w:sz w:val="16"/>
      <w:szCs w:val="16"/>
    </w:rPr>
  </w:style>
  <w:style w:type="paragraph" w:customStyle="1" w:styleId="269">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70">
    <w:name w:val="CM108"/>
    <w:basedOn w:val="135"/>
    <w:next w:val="135"/>
    <w:qFormat/>
    <w:uiPriority w:val="0"/>
    <w:pPr>
      <w:spacing w:after="435"/>
    </w:pPr>
    <w:rPr>
      <w:color w:val="auto"/>
    </w:rPr>
  </w:style>
  <w:style w:type="paragraph" w:customStyle="1" w:styleId="271">
    <w:name w:val="CM106"/>
    <w:basedOn w:val="135"/>
    <w:next w:val="135"/>
    <w:qFormat/>
    <w:uiPriority w:val="0"/>
    <w:pPr>
      <w:spacing w:after="905"/>
    </w:pPr>
    <w:rPr>
      <w:color w:val="auto"/>
    </w:rPr>
  </w:style>
  <w:style w:type="paragraph" w:customStyle="1" w:styleId="272">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73">
    <w:name w:val="文档正文"/>
    <w:basedOn w:val="1"/>
    <w:qFormat/>
    <w:uiPriority w:val="0"/>
    <w:pPr>
      <w:spacing w:line="300" w:lineRule="auto"/>
      <w:ind w:firstLine="420" w:firstLineChars="200"/>
    </w:pPr>
    <w:rPr>
      <w:bCs/>
      <w:szCs w:val="21"/>
    </w:rPr>
  </w:style>
  <w:style w:type="paragraph" w:customStyle="1" w:styleId="274">
    <w:name w:val="CM94"/>
    <w:basedOn w:val="135"/>
    <w:next w:val="135"/>
    <w:qFormat/>
    <w:uiPriority w:val="0"/>
    <w:rPr>
      <w:color w:val="auto"/>
    </w:rPr>
  </w:style>
  <w:style w:type="paragraph" w:customStyle="1" w:styleId="275">
    <w:name w:val="CM63"/>
    <w:basedOn w:val="135"/>
    <w:next w:val="135"/>
    <w:qFormat/>
    <w:uiPriority w:val="0"/>
    <w:pPr>
      <w:spacing w:line="403" w:lineRule="atLeast"/>
    </w:pPr>
    <w:rPr>
      <w:color w:val="auto"/>
    </w:rPr>
  </w:style>
  <w:style w:type="paragraph" w:customStyle="1" w:styleId="276">
    <w:name w:val="CM51"/>
    <w:basedOn w:val="135"/>
    <w:next w:val="135"/>
    <w:qFormat/>
    <w:uiPriority w:val="0"/>
    <w:rPr>
      <w:color w:val="auto"/>
    </w:rPr>
  </w:style>
  <w:style w:type="paragraph" w:customStyle="1" w:styleId="277">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Char Char1 Char Char11"/>
    <w:basedOn w:val="1"/>
    <w:qFormat/>
    <w:uiPriority w:val="0"/>
    <w:rPr>
      <w:rFonts w:ascii="Tahoma" w:hAnsi="Tahoma"/>
      <w:sz w:val="24"/>
    </w:rPr>
  </w:style>
  <w:style w:type="paragraph" w:customStyle="1" w:styleId="279">
    <w:name w:val="CM53"/>
    <w:basedOn w:val="135"/>
    <w:next w:val="135"/>
    <w:qFormat/>
    <w:uiPriority w:val="0"/>
    <w:pPr>
      <w:spacing w:line="403" w:lineRule="atLeast"/>
    </w:pPr>
    <w:rPr>
      <w:color w:val="auto"/>
    </w:rPr>
  </w:style>
  <w:style w:type="paragraph" w:customStyle="1" w:styleId="280">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1">
    <w:name w:val="CM76"/>
    <w:basedOn w:val="135"/>
    <w:next w:val="135"/>
    <w:qFormat/>
    <w:uiPriority w:val="0"/>
    <w:pPr>
      <w:spacing w:line="403" w:lineRule="atLeast"/>
    </w:pPr>
    <w:rPr>
      <w:color w:val="auto"/>
    </w:rPr>
  </w:style>
  <w:style w:type="paragraph" w:customStyle="1" w:styleId="282">
    <w:name w:val="CM55"/>
    <w:basedOn w:val="135"/>
    <w:next w:val="135"/>
    <w:qFormat/>
    <w:uiPriority w:val="0"/>
    <w:pPr>
      <w:spacing w:line="403" w:lineRule="atLeast"/>
    </w:pPr>
    <w:rPr>
      <w:color w:val="auto"/>
    </w:rPr>
  </w:style>
  <w:style w:type="paragraph" w:customStyle="1" w:styleId="283">
    <w:name w:val="CM31"/>
    <w:basedOn w:val="135"/>
    <w:next w:val="135"/>
    <w:qFormat/>
    <w:uiPriority w:val="0"/>
    <w:pPr>
      <w:spacing w:line="403" w:lineRule="atLeast"/>
    </w:pPr>
    <w:rPr>
      <w:color w:val="auto"/>
    </w:rPr>
  </w:style>
  <w:style w:type="paragraph" w:customStyle="1" w:styleId="284">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85">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86">
    <w:name w:val="CM58"/>
    <w:basedOn w:val="135"/>
    <w:next w:val="135"/>
    <w:qFormat/>
    <w:uiPriority w:val="0"/>
    <w:pPr>
      <w:spacing w:line="403" w:lineRule="atLeast"/>
    </w:pPr>
    <w:rPr>
      <w:color w:val="auto"/>
    </w:rPr>
  </w:style>
  <w:style w:type="paragraph" w:customStyle="1" w:styleId="287">
    <w:name w:val="Char Char Char1"/>
    <w:basedOn w:val="1"/>
    <w:qFormat/>
    <w:uiPriority w:val="0"/>
    <w:rPr>
      <w:rFonts w:ascii="Tahoma" w:hAnsi="Tahoma"/>
      <w:sz w:val="24"/>
    </w:rPr>
  </w:style>
  <w:style w:type="paragraph" w:customStyle="1" w:styleId="288">
    <w:name w:val="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
    <w:name w:val="CM60"/>
    <w:basedOn w:val="135"/>
    <w:next w:val="135"/>
    <w:qFormat/>
    <w:uiPriority w:val="0"/>
    <w:pPr>
      <w:spacing w:line="403" w:lineRule="atLeast"/>
    </w:pPr>
    <w:rPr>
      <w:color w:val="auto"/>
    </w:rPr>
  </w:style>
  <w:style w:type="paragraph" w:customStyle="1" w:styleId="290">
    <w:name w:val="CM61"/>
    <w:basedOn w:val="135"/>
    <w:next w:val="135"/>
    <w:qFormat/>
    <w:uiPriority w:val="0"/>
    <w:pPr>
      <w:spacing w:line="403" w:lineRule="atLeast"/>
    </w:pPr>
    <w:rPr>
      <w:color w:val="auto"/>
    </w:rPr>
  </w:style>
  <w:style w:type="paragraph" w:customStyle="1" w:styleId="291">
    <w:name w:val="CM68"/>
    <w:basedOn w:val="135"/>
    <w:next w:val="135"/>
    <w:qFormat/>
    <w:uiPriority w:val="0"/>
    <w:pPr>
      <w:spacing w:line="403" w:lineRule="atLeast"/>
    </w:pPr>
    <w:rPr>
      <w:color w:val="auto"/>
    </w:rPr>
  </w:style>
  <w:style w:type="paragraph" w:customStyle="1" w:styleId="292">
    <w:name w:val="CM69"/>
    <w:basedOn w:val="135"/>
    <w:next w:val="135"/>
    <w:qFormat/>
    <w:uiPriority w:val="0"/>
    <w:pPr>
      <w:spacing w:line="403" w:lineRule="atLeast"/>
    </w:pPr>
    <w:rPr>
      <w:color w:val="auto"/>
    </w:rPr>
  </w:style>
  <w:style w:type="paragraph" w:customStyle="1" w:styleId="29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CM88"/>
    <w:basedOn w:val="135"/>
    <w:next w:val="135"/>
    <w:qFormat/>
    <w:uiPriority w:val="0"/>
    <w:pPr>
      <w:spacing w:line="403" w:lineRule="atLeast"/>
    </w:pPr>
    <w:rPr>
      <w:color w:val="auto"/>
    </w:rPr>
  </w:style>
  <w:style w:type="paragraph" w:customStyle="1" w:styleId="295">
    <w:name w:val="CM71"/>
    <w:basedOn w:val="135"/>
    <w:next w:val="135"/>
    <w:qFormat/>
    <w:uiPriority w:val="0"/>
    <w:rPr>
      <w:color w:val="auto"/>
    </w:rPr>
  </w:style>
  <w:style w:type="paragraph" w:customStyle="1" w:styleId="296">
    <w:name w:val="Char Char1 Char Char1 Char Char1"/>
    <w:basedOn w:val="1"/>
    <w:qFormat/>
    <w:uiPriority w:val="0"/>
    <w:rPr>
      <w:rFonts w:ascii="Tahoma" w:hAnsi="Tahoma"/>
      <w:sz w:val="24"/>
    </w:rPr>
  </w:style>
  <w:style w:type="paragraph" w:customStyle="1" w:styleId="29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98">
    <w:name w:val="CM77"/>
    <w:basedOn w:val="135"/>
    <w:next w:val="135"/>
    <w:qFormat/>
    <w:uiPriority w:val="0"/>
    <w:pPr>
      <w:spacing w:line="403" w:lineRule="atLeast"/>
    </w:pPr>
    <w:rPr>
      <w:color w:val="auto"/>
    </w:rPr>
  </w:style>
  <w:style w:type="paragraph" w:customStyle="1" w:styleId="299">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300">
    <w:name w:val="图题"/>
    <w:basedOn w:val="13"/>
    <w:qFormat/>
    <w:uiPriority w:val="0"/>
    <w:pPr>
      <w:autoSpaceDE w:val="0"/>
      <w:autoSpaceDN w:val="0"/>
      <w:spacing w:afterLines="50"/>
      <w:ind w:firstLine="0" w:firstLineChars="0"/>
      <w:jc w:val="center"/>
    </w:pPr>
    <w:rPr>
      <w:kern w:val="21"/>
      <w:sz w:val="18"/>
    </w:rPr>
  </w:style>
  <w:style w:type="paragraph" w:customStyle="1" w:styleId="301">
    <w:name w:val="CM78"/>
    <w:basedOn w:val="135"/>
    <w:next w:val="135"/>
    <w:qFormat/>
    <w:uiPriority w:val="0"/>
    <w:pPr>
      <w:spacing w:line="403" w:lineRule="atLeast"/>
    </w:pPr>
    <w:rPr>
      <w:color w:val="auto"/>
    </w:rPr>
  </w:style>
  <w:style w:type="paragraph" w:customStyle="1" w:styleId="302">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303">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304">
    <w:name w:val="CM80"/>
    <w:basedOn w:val="135"/>
    <w:next w:val="135"/>
    <w:qFormat/>
    <w:uiPriority w:val="0"/>
    <w:pPr>
      <w:spacing w:line="403" w:lineRule="atLeast"/>
    </w:pPr>
    <w:rPr>
      <w:color w:val="auto"/>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6">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307">
    <w:name w:val="CM83"/>
    <w:basedOn w:val="135"/>
    <w:next w:val="135"/>
    <w:qFormat/>
    <w:uiPriority w:val="0"/>
    <w:rPr>
      <w:color w:val="auto"/>
    </w:rPr>
  </w:style>
  <w:style w:type="paragraph" w:customStyle="1" w:styleId="308">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09">
    <w:name w:val="Table_Medium"/>
    <w:basedOn w:val="1"/>
    <w:qFormat/>
    <w:uiPriority w:val="0"/>
    <w:pPr>
      <w:widowControl/>
      <w:spacing w:before="40" w:after="40"/>
      <w:jc w:val="left"/>
    </w:pPr>
    <w:rPr>
      <w:rFonts w:ascii="Futura Bk" w:hAnsi="Futura Bk"/>
      <w:kern w:val="0"/>
      <w:sz w:val="18"/>
      <w:lang w:eastAsia="en-US"/>
    </w:rPr>
  </w:style>
  <w:style w:type="paragraph" w:customStyle="1" w:styleId="310">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paragraph" w:customStyle="1" w:styleId="31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2">
    <w:name w:val="MD1_L1"/>
    <w:basedOn w:val="1"/>
    <w:next w:val="313"/>
    <w:qFormat/>
    <w:uiPriority w:val="0"/>
    <w:pPr>
      <w:keepNext/>
      <w:widowControl/>
      <w:tabs>
        <w:tab w:val="left" w:pos="0"/>
      </w:tabs>
      <w:spacing w:after="240"/>
      <w:jc w:val="center"/>
      <w:outlineLvl w:val="0"/>
    </w:pPr>
    <w:rPr>
      <w:b/>
      <w:kern w:val="0"/>
      <w:sz w:val="24"/>
      <w:lang w:eastAsia="en-US"/>
    </w:rPr>
  </w:style>
  <w:style w:type="paragraph" w:customStyle="1" w:styleId="313">
    <w:name w:val="MD1_L2"/>
    <w:basedOn w:val="1"/>
    <w:qFormat/>
    <w:uiPriority w:val="0"/>
    <w:pPr>
      <w:widowControl/>
      <w:tabs>
        <w:tab w:val="left" w:pos="720"/>
      </w:tabs>
      <w:spacing w:after="240"/>
      <w:outlineLvl w:val="1"/>
    </w:pPr>
    <w:rPr>
      <w:kern w:val="0"/>
      <w:sz w:val="24"/>
      <w:lang w:eastAsia="en-US"/>
    </w:rPr>
  </w:style>
  <w:style w:type="paragraph" w:customStyle="1" w:styleId="314">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5">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16">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317">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318">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3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table" w:customStyle="1" w:styleId="320">
    <w:name w:val="简明型 111"/>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21">
    <w:name w:val="网格型1"/>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简明型 11"/>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23">
    <w:name w:val="网格型2"/>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简明型 12"/>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25">
    <w:name w:val="网格型11"/>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简明型 112"/>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27">
    <w:name w:val="网格型3"/>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简明型 13"/>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character" w:customStyle="1" w:styleId="329">
    <w:name w:val="页脚 Char1"/>
    <w:qFormat/>
    <w:uiPriority w:val="99"/>
    <w:rPr>
      <w:rFonts w:ascii="Times New Roman" w:hAnsi="Times New Roman" w:eastAsia="宋体" w:cs="Times New Roman"/>
      <w:sz w:val="18"/>
      <w:szCs w:val="18"/>
    </w:rPr>
  </w:style>
  <w:style w:type="character" w:customStyle="1" w:styleId="330">
    <w:name w:val="页眉 Char1"/>
    <w:qFormat/>
    <w:uiPriority w:val="99"/>
    <w:rPr>
      <w:rFonts w:ascii="Times New Roman" w:hAnsi="Times New Roman" w:eastAsia="宋体" w:cs="Times New Roman"/>
      <w:sz w:val="18"/>
      <w:szCs w:val="18"/>
    </w:rPr>
  </w:style>
  <w:style w:type="character" w:customStyle="1" w:styleId="331">
    <w:name w:val="Char Char72"/>
    <w:qFormat/>
    <w:uiPriority w:val="0"/>
    <w:rPr>
      <w:rFonts w:eastAsia="宋体"/>
      <w:kern w:val="2"/>
      <w:sz w:val="18"/>
      <w:szCs w:val="18"/>
      <w:lang w:val="en-US" w:eastAsia="zh-CN" w:bidi="ar-SA"/>
    </w:rPr>
  </w:style>
  <w:style w:type="paragraph" w:customStyle="1" w:styleId="332">
    <w:name w:val="TOC 标题11"/>
    <w:basedOn w:val="2"/>
    <w:next w:val="1"/>
    <w:semiHidden/>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3">
    <w:name w:val="Char Char Char Char Char Char Char Char Char Char Char Char Char Char Char Char2"/>
    <w:basedOn w:val="1"/>
    <w:semiHidden/>
    <w:qFormat/>
    <w:uiPriority w:val="0"/>
    <w:pPr>
      <w:tabs>
        <w:tab w:val="left" w:pos="360"/>
      </w:tabs>
    </w:pPr>
    <w:rPr>
      <w:sz w:val="24"/>
      <w:szCs w:val="24"/>
    </w:rPr>
  </w:style>
  <w:style w:type="paragraph" w:customStyle="1" w:styleId="334">
    <w:name w:val="Char Char Char2"/>
    <w:basedOn w:val="1"/>
    <w:qFormat/>
    <w:uiPriority w:val="0"/>
    <w:rPr>
      <w:rFonts w:ascii="Tahoma" w:hAnsi="Tahoma"/>
      <w:sz w:val="24"/>
    </w:rPr>
  </w:style>
  <w:style w:type="paragraph" w:customStyle="1" w:styleId="335">
    <w:name w:val="Char Char Char Char2"/>
    <w:basedOn w:val="1"/>
    <w:qFormat/>
    <w:uiPriority w:val="0"/>
    <w:rPr>
      <w:rFonts w:ascii="Tahoma" w:hAnsi="Tahoma"/>
      <w:sz w:val="24"/>
    </w:rPr>
  </w:style>
  <w:style w:type="paragraph" w:customStyle="1" w:styleId="336">
    <w:name w:val="Char Char1 Char Char1 Char Char2"/>
    <w:basedOn w:val="1"/>
    <w:qFormat/>
    <w:uiPriority w:val="0"/>
    <w:rPr>
      <w:rFonts w:ascii="Tahoma" w:hAnsi="Tahoma"/>
      <w:sz w:val="24"/>
    </w:rPr>
  </w:style>
  <w:style w:type="paragraph" w:customStyle="1" w:styleId="337">
    <w:name w:val="Char Char1 Char Char12"/>
    <w:basedOn w:val="1"/>
    <w:qFormat/>
    <w:uiPriority w:val="0"/>
    <w:rPr>
      <w:rFonts w:ascii="Tahoma" w:hAnsi="Tahoma"/>
      <w:sz w:val="24"/>
    </w:rPr>
  </w:style>
  <w:style w:type="paragraph" w:customStyle="1" w:styleId="338">
    <w:name w:val="Char Char Char Char Char Char1 Char Char Char1"/>
    <w:basedOn w:val="1"/>
    <w:qFormat/>
    <w:uiPriority w:val="0"/>
    <w:pPr>
      <w:autoSpaceDE w:val="0"/>
      <w:autoSpaceDN w:val="0"/>
      <w:adjustRightInd w:val="0"/>
      <w:jc w:val="left"/>
      <w:textAlignment w:val="baseline"/>
    </w:pPr>
    <w:rPr>
      <w:rFonts w:eastAsia="方正仿宋简体"/>
      <w:sz w:val="32"/>
    </w:rPr>
  </w:style>
  <w:style w:type="paragraph" w:customStyle="1" w:styleId="339">
    <w:name w:val="Char2"/>
    <w:basedOn w:val="1"/>
    <w:qFormat/>
    <w:uiPriority w:val="0"/>
    <w:rPr>
      <w:rFonts w:ascii="Tahoma" w:hAnsi="Tahoma"/>
      <w:sz w:val="24"/>
    </w:rPr>
  </w:style>
  <w:style w:type="table" w:customStyle="1" w:styleId="340">
    <w:name w:val="网格型4"/>
    <w:basedOn w:val="47"/>
    <w:qFormat/>
    <w:locked/>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简明型 14"/>
    <w:basedOn w:val="47"/>
    <w:qFormat/>
    <w:uiPriority w:val="0"/>
    <w:pPr>
      <w:widowControl w:val="0"/>
      <w:numPr>
        <w:numId w:val="1"/>
      </w:numPr>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42">
    <w:name w:val="简明型 1111"/>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43">
    <w:name w:val="网格型12"/>
    <w:basedOn w:val="47"/>
    <w:qFormat/>
    <w:lock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简明型 113"/>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45">
    <w:name w:val="网格型21"/>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简明型 121"/>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47">
    <w:name w:val="网格型111"/>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简明型 1121"/>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49">
    <w:name w:val="网格型31"/>
    <w:basedOn w:val="47"/>
    <w:qFormat/>
    <w:lock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简明型 131"/>
    <w:basedOn w:val="4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51">
    <w:name w:val="TOC Heading"/>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352">
    <w:name w:val="正文文本缩进 Char1"/>
    <w:basedOn w:val="50"/>
    <w:qFormat/>
    <w:uiPriority w:val="0"/>
  </w:style>
  <w:style w:type="character" w:customStyle="1" w:styleId="353">
    <w:name w:val="正文文本 Char1"/>
    <w:basedOn w:val="50"/>
    <w:qFormat/>
    <w:uiPriority w:val="0"/>
  </w:style>
  <w:style w:type="paragraph" w:customStyle="1" w:styleId="354">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 w:type="character" w:customStyle="1" w:styleId="355">
    <w:name w:val="尾注文本 Char"/>
    <w:basedOn w:val="50"/>
    <w:link w:val="27"/>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SHFE</Company>
  <Pages>231</Pages>
  <Words>17253</Words>
  <Characters>98344</Characters>
  <Lines>819</Lines>
  <Paragraphs>230</Paragraphs>
  <TotalTime>0</TotalTime>
  <ScaleCrop>false</ScaleCrop>
  <LinksUpToDate>false</LinksUpToDate>
  <CharactersWithSpaces>115367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2025-07-24T14:43:00Z</dcterms:created>
  <dc:creator>叶勇</dc:creator>
  <cp:lastModifiedBy>ye.yong</cp:lastModifiedBy>
  <cp:lastPrinted>2025-09-23T23:36:00Z</cp:lastPrinted>
  <dcterms:modified xsi:type="dcterms:W3CDTF">2025-11-28T16:54:52Z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1CE161DFC6FD4192206695687075D4B7</vt:lpwstr>
  </property>
</Properties>
</file>