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rPr>
          <w:rFonts w:hint="eastAsia" w:ascii="Times New Roman" w:hAnsi="Times New Roman" w:eastAsia="方正小标宋_GBK" w:cs="方正小标宋_GBK"/>
          <w:color w:val="000000" w:themeColor="text1"/>
          <w:kern w:val="0"/>
          <w:sz w:val="44"/>
          <w:szCs w:val="44"/>
          <w:highlight w:val="none"/>
          <w14:textFill>
            <w14:solidFill>
              <w14:schemeClr w14:val="tx1"/>
            </w14:solidFill>
          </w14:textFill>
        </w:rPr>
      </w:pPr>
      <w:bookmarkStart w:id="0" w:name="_Toc1972107348"/>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rPr>
          <w:rFonts w:hint="eastAsia" w:ascii="Times New Roman" w:hAnsi="Times New Roman" w:eastAsia="方正小标宋_GBK" w:cs="方正小标宋_GBK"/>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highlight w:val="none"/>
          <w14:textFill>
            <w14:solidFill>
              <w14:schemeClr w14:val="tx1"/>
            </w14:solidFill>
          </w14:textFill>
        </w:rPr>
        <w:t>互联网平台反垄断合规指引</w:t>
      </w:r>
      <w:bookmarkEnd w:id="0"/>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14:textFill>
            <w14:solidFill>
              <w14:schemeClr w14:val="tx1"/>
            </w14:solidFill>
          </w14:textFill>
        </w:rPr>
      </w:pPr>
      <w:bookmarkStart w:id="1" w:name="_Toc542035533"/>
      <w:bookmarkStart w:id="2" w:name="_Toc1886057722"/>
      <w:bookmarkStart w:id="3" w:name="_Toc1217874041"/>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ascii="Times New Roman" w:hAnsi="Times New Roman" w:eastAsia="黑体" w:cs="黑体"/>
          <w:color w:val="000000" w:themeColor="text1"/>
          <w:kern w:val="0"/>
          <w:sz w:val="32"/>
          <w:szCs w:val="32"/>
          <w:highlight w:val="none"/>
          <w14:textFill>
            <w14:solidFill>
              <w14:schemeClr w14:val="tx1"/>
            </w14:solidFill>
          </w14:textFill>
        </w:rPr>
      </w:pPr>
      <w:bookmarkStart w:id="4" w:name="_Toc1377997872"/>
      <w:r>
        <w:rPr>
          <w:rFonts w:hint="eastAsia" w:ascii="Times New Roman" w:hAnsi="Times New Roman" w:eastAsia="黑体" w:cs="黑体"/>
          <w:color w:val="000000" w:themeColor="text1"/>
          <w:kern w:val="0"/>
          <w:sz w:val="32"/>
          <w:szCs w:val="32"/>
          <w:highlight w:val="none"/>
          <w14:textFill>
            <w14:solidFill>
              <w14:schemeClr w14:val="tx1"/>
            </w14:solidFill>
          </w14:textFill>
        </w:rPr>
        <w:t>第一章  总则</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5" w:name="_Toc171287617"/>
      <w:bookmarkStart w:id="6" w:name="_Toc1940053041"/>
      <w:bookmarkStart w:id="7" w:name="_Toc1978202596"/>
      <w:bookmarkStart w:id="8" w:name="_Toc1839426081"/>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第一条  目的</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和依据</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为支持和引导平台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经营者有效防范反垄断合规风险，</w:t>
      </w:r>
      <w:r>
        <w:rPr>
          <w:rFonts w:hint="eastAsia" w:ascii="Times New Roman" w:hAnsi="Times New Roman" w:eastAsia="仿宋_GB2312"/>
          <w:color w:val="000000" w:themeColor="text1"/>
          <w:sz w:val="32"/>
          <w:szCs w:val="32"/>
          <w:highlight w:val="none"/>
          <w14:textFill>
            <w14:solidFill>
              <w14:schemeClr w14:val="tx1"/>
            </w14:solidFill>
          </w14:textFill>
        </w:rPr>
        <w:t>健全反垄断合规管理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制度</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保护相关主体合法权益，维护市场公平竞争秩序，促进平台经济健康发展，</w:t>
      </w:r>
      <w:r>
        <w:rPr>
          <w:rFonts w:hint="eastAsia" w:ascii="Times New Roman" w:hAnsi="Times New Roman" w:eastAsia="仿宋_GB2312"/>
          <w:color w:val="000000" w:themeColor="text1"/>
          <w:sz w:val="32"/>
          <w:szCs w:val="32"/>
          <w:highlight w:val="none"/>
          <w14:textFill>
            <w14:solidFill>
              <w14:schemeClr w14:val="tx1"/>
            </w14:solidFill>
          </w14:textFill>
        </w:rPr>
        <w:t>根据《中华人民共和国反垄断法》（以下简称《反垄断法》）等法律规定，制定本指引。</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9" w:name="_Toc1181805934"/>
      <w:bookmarkStart w:id="10" w:name="_Toc1246022423"/>
      <w:bookmarkStart w:id="11" w:name="_Toc992936516"/>
      <w:bookmarkStart w:id="12" w:name="_Toc4729016"/>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第二条  相关概念</w:t>
      </w:r>
      <w:bookmarkEnd w:id="9"/>
      <w:bookmarkEnd w:id="10"/>
      <w:bookmarkEnd w:id="11"/>
      <w:bookmarkEnd w:id="12"/>
    </w:p>
    <w:p>
      <w:pPr>
        <w:pStyle w:val="38"/>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本指引所称互联网平台，是指通过</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网络</w:t>
      </w:r>
      <w:r>
        <w:rPr>
          <w:rFonts w:hint="eastAsia" w:ascii="Times New Roman" w:hAnsi="Times New Roman" w:eastAsia="仿宋_GB2312"/>
          <w:color w:val="000000" w:themeColor="text1"/>
          <w:sz w:val="32"/>
          <w:szCs w:val="32"/>
          <w:highlight w:val="none"/>
          <w14:textFill>
            <w14:solidFill>
              <w14:schemeClr w14:val="tx1"/>
            </w14:solidFill>
          </w14:textFill>
        </w:rPr>
        <w:t>信息技术，使相互依赖的双边或者多边主体在特定载体提供的规则下交互，以此共同创造价值的商业组织形态。</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本指引所称</w:t>
      </w:r>
      <w:r>
        <w:rPr>
          <w:rFonts w:hint="eastAsia" w:ascii="Times New Roman" w:hAnsi="Times New Roman" w:eastAsia="仿宋_GB2312"/>
          <w:color w:val="000000" w:themeColor="text1"/>
          <w:sz w:val="32"/>
          <w:szCs w:val="32"/>
          <w:highlight w:val="none"/>
          <w14:textFill>
            <w14:solidFill>
              <w14:schemeClr w14:val="tx1"/>
            </w14:solidFill>
          </w14:textFill>
        </w:rPr>
        <w:t>平台经</w:t>
      </w:r>
      <w:bookmarkStart w:id="146" w:name="_GoBack"/>
      <w:bookmarkEnd w:id="146"/>
      <w:r>
        <w:rPr>
          <w:rFonts w:hint="eastAsia" w:ascii="Times New Roman" w:hAnsi="Times New Roman" w:eastAsia="仿宋_GB2312"/>
          <w:color w:val="000000" w:themeColor="text1"/>
          <w:sz w:val="32"/>
          <w:szCs w:val="32"/>
          <w:highlight w:val="none"/>
          <w14:textFill>
            <w14:solidFill>
              <w14:schemeClr w14:val="tx1"/>
            </w14:solidFill>
          </w14:textFill>
        </w:rPr>
        <w:t>营者，是指向自然人、法人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以</w:t>
      </w:r>
      <w:r>
        <w:rPr>
          <w:rFonts w:hint="eastAsia" w:ascii="Times New Roman" w:hAnsi="Times New Roman" w:eastAsia="仿宋_GB2312"/>
          <w:color w:val="000000" w:themeColor="text1"/>
          <w:sz w:val="32"/>
          <w:szCs w:val="32"/>
          <w:highlight w:val="none"/>
          <w14:textFill>
            <w14:solidFill>
              <w14:schemeClr w14:val="tx1"/>
            </w14:solidFill>
          </w14:textFill>
        </w:rPr>
        <w:t>及其他市场主体提供经营场所、交易撮合、信息交流等互联网平台服务的经营者。</w:t>
      </w:r>
    </w:p>
    <w:p>
      <w:pPr>
        <w:keepNext w:val="0"/>
        <w:keepLines w:val="0"/>
        <w:pageBreakBefore w:val="0"/>
        <w:widowControl w:val="0"/>
        <w:kinsoku/>
        <w:wordWrap/>
        <w:overflowPunct/>
        <w:topLinePunct w:val="0"/>
        <w:autoSpaceDE/>
        <w:autoSpaceDN/>
        <w:bidi w:val="0"/>
        <w:adjustRightInd/>
        <w:snapToGrid/>
        <w:spacing w:after="0" w:line="550" w:lineRule="exact"/>
        <w:ind w:firstLine="627"/>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本指引所称</w:t>
      </w:r>
      <w:r>
        <w:rPr>
          <w:rFonts w:hint="eastAsia" w:ascii="Times New Roman" w:hAnsi="Times New Roman" w:eastAsia="仿宋_GB2312"/>
          <w:color w:val="000000" w:themeColor="text1"/>
          <w:sz w:val="32"/>
          <w:szCs w:val="32"/>
          <w:highlight w:val="none"/>
          <w14:textFill>
            <w14:solidFill>
              <w14:schemeClr w14:val="tx1"/>
            </w14:solidFill>
          </w14:textFill>
        </w:rPr>
        <w:t>平台内经营者，是指在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互联网</w:t>
      </w:r>
      <w:r>
        <w:rPr>
          <w:rFonts w:hint="eastAsia" w:ascii="Times New Roman" w:hAnsi="Times New Roman" w:eastAsia="仿宋_GB2312"/>
          <w:color w:val="000000" w:themeColor="text1"/>
          <w:sz w:val="32"/>
          <w:szCs w:val="32"/>
          <w:highlight w:val="none"/>
          <w14:textFill>
            <w14:solidFill>
              <w14:schemeClr w14:val="tx1"/>
            </w14:solidFill>
          </w14:textFill>
        </w:rPr>
        <w:t>平台内提供商品或者服务</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（以下统称商品）</w:t>
      </w:r>
      <w:r>
        <w:rPr>
          <w:rFonts w:hint="eastAsia" w:ascii="Times New Roman" w:hAnsi="Times New Roman" w:eastAsia="仿宋_GB2312"/>
          <w:color w:val="000000" w:themeColor="text1"/>
          <w:sz w:val="32"/>
          <w:szCs w:val="32"/>
          <w:highlight w:val="none"/>
          <w14:textFill>
            <w14:solidFill>
              <w14:schemeClr w14:val="tx1"/>
            </w14:solidFill>
          </w14:textFill>
        </w:rPr>
        <w:t>的经营者。</w:t>
      </w:r>
    </w:p>
    <w:p>
      <w:pPr>
        <w:keepNext w:val="0"/>
        <w:keepLines w:val="0"/>
        <w:pageBreakBefore w:val="0"/>
        <w:widowControl w:val="0"/>
        <w:kinsoku/>
        <w:wordWrap/>
        <w:overflowPunct/>
        <w:topLinePunct w:val="0"/>
        <w:autoSpaceDE/>
        <w:autoSpaceDN/>
        <w:bidi w:val="0"/>
        <w:adjustRightInd/>
        <w:snapToGrid/>
        <w:spacing w:after="0" w:line="550" w:lineRule="exact"/>
        <w:ind w:firstLine="627"/>
        <w:jc w:val="left"/>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本指引所称</w:t>
      </w:r>
      <w:r>
        <w:rPr>
          <w:rFonts w:hint="eastAsia" w:ascii="Times New Roman" w:hAnsi="Times New Roman" w:eastAsia="仿宋_GB2312"/>
          <w:color w:val="000000" w:themeColor="text1"/>
          <w:sz w:val="32"/>
          <w:szCs w:val="32"/>
          <w:highlight w:val="none"/>
          <w14:textFill>
            <w14:solidFill>
              <w14:schemeClr w14:val="tx1"/>
            </w14:solidFill>
          </w14:textFill>
        </w:rPr>
        <w:t>反垄断合规风险，是指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平台</w:t>
      </w:r>
      <w:r>
        <w:rPr>
          <w:rFonts w:hint="eastAsia" w:ascii="Times New Roman" w:hAnsi="Times New Roman" w:eastAsia="仿宋_GB2312"/>
          <w:color w:val="000000" w:themeColor="text1"/>
          <w:sz w:val="32"/>
          <w:szCs w:val="32"/>
          <w:highlight w:val="none"/>
          <w14:textFill>
            <w14:solidFill>
              <w14:schemeClr w14:val="tx1"/>
            </w14:solidFill>
          </w14:textFill>
        </w:rPr>
        <w:t>经营者及</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其员工</w:t>
      </w:r>
      <w:r>
        <w:rPr>
          <w:rFonts w:hint="eastAsia" w:ascii="Times New Roman" w:hAnsi="Times New Roman" w:eastAsia="仿宋_GB2312"/>
          <w:color w:val="000000" w:themeColor="text1"/>
          <w:sz w:val="32"/>
          <w:szCs w:val="32"/>
          <w:highlight w:val="none"/>
          <w14:textFill>
            <w14:solidFill>
              <w14:schemeClr w14:val="tx1"/>
            </w14:solidFill>
          </w14:textFill>
        </w:rPr>
        <w:t>因违反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反垄断法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相关规定，引发法律责任、造成经济或者声誉损失以及其他负面后果的可能性</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jc w:val="left"/>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本指引所称反垄断合规管理，是指以防控反垄断合规风险为目的，针对平台经营者的经营管理行为和员工履职行为开展的有组织、有计划、全流程的管理活动。</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pPr>
      <w:bookmarkStart w:id="13" w:name="_Toc1626007619"/>
      <w:bookmarkStart w:id="14" w:name="_Toc1923576730"/>
      <w:bookmarkStart w:id="15" w:name="_Toc498783146"/>
      <w:bookmarkStart w:id="16" w:name="_Toc1632136811"/>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三</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合规</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管理</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必要性</w:t>
      </w:r>
      <w:bookmarkEnd w:id="13"/>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互联网平台网络效应明显，涉及平台经营者、平台内经营者、消费者和从业人员等多方主体。平台经营者通常具有一定的管理者属性，通过数据和算法、技术、资本优势、平台规则等影响平台竞争生态，要切实加强反垄断合规管理。</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平台经营者违反《反垄断法》，将承担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相应的</w:t>
      </w:r>
      <w:r>
        <w:rPr>
          <w:rFonts w:hint="eastAsia" w:ascii="Times New Roman" w:hAnsi="Times New Roman" w:eastAsia="仿宋_GB2312"/>
          <w:color w:val="000000" w:themeColor="text1"/>
          <w:sz w:val="32"/>
          <w:szCs w:val="32"/>
          <w:highlight w:val="none"/>
          <w14:textFill>
            <w14:solidFill>
              <w14:schemeClr w14:val="tx1"/>
            </w14:solidFill>
          </w14:textFill>
        </w:rPr>
        <w:t>法律责任，产生相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关</w:t>
      </w:r>
      <w:r>
        <w:rPr>
          <w:rFonts w:hint="eastAsia" w:ascii="Times New Roman" w:hAnsi="Times New Roman" w:eastAsia="仿宋_GB2312"/>
          <w:color w:val="000000" w:themeColor="text1"/>
          <w:sz w:val="32"/>
          <w:szCs w:val="32"/>
          <w:highlight w:val="none"/>
          <w14:textFill>
            <w14:solidFill>
              <w14:schemeClr w14:val="tx1"/>
            </w14:solidFill>
          </w14:textFill>
        </w:rPr>
        <w:t>商业风险和信用风险。</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平台经营者加强反垄断合规管理，可以避免因从事垄断行为产生的风险，培育良好品牌形象和核心竞争优势。</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平台经营者增强反垄断合规意识，</w:t>
      </w:r>
      <w:r>
        <w:rPr>
          <w:rFonts w:hint="eastAsia" w:ascii="Times New Roman" w:hAnsi="Times New Roman" w:eastAsia="仿宋_GB2312"/>
          <w:color w:val="000000" w:themeColor="text1"/>
          <w:sz w:val="32"/>
          <w:szCs w:val="32"/>
          <w:highlight w:val="none"/>
          <w14:textFill>
            <w14:solidFill>
              <w14:schemeClr w14:val="tx1"/>
            </w14:solidFill>
          </w14:textFill>
        </w:rPr>
        <w:t>健全反垄断合规管理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制度</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有利于提高竞争层次和水平，优化资源配置，提升运行效率，维护多方主体合法权益，推动平台竞争生态持续优化，实现平台经济创新发展。</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17" w:name="_Toc1458115052"/>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四</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基本原则</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经营者</w:t>
      </w:r>
      <w:r>
        <w:rPr>
          <w:rFonts w:hint="eastAsia" w:ascii="Times New Roman" w:hAnsi="Times New Roman" w:eastAsia="仿宋_GB2312"/>
          <w:color w:val="000000" w:themeColor="text1"/>
          <w:sz w:val="32"/>
          <w:szCs w:val="32"/>
          <w:highlight w:val="none"/>
          <w14:textFill>
            <w14:solidFill>
              <w14:schemeClr w14:val="tx1"/>
            </w14:solidFill>
          </w14:textFill>
        </w:rPr>
        <w:t>遵循以下基本原则</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，参考本指引开展</w:t>
      </w:r>
      <w:r>
        <w:rPr>
          <w:rFonts w:hint="eastAsia" w:ascii="Times New Roman" w:hAnsi="Times New Roman" w:eastAsia="仿宋_GB2312"/>
          <w:color w:val="000000" w:themeColor="text1"/>
          <w:sz w:val="32"/>
          <w:szCs w:val="32"/>
          <w:highlight w:val="none"/>
          <w14:textFill>
            <w14:solidFill>
              <w14:schemeClr w14:val="tx1"/>
            </w14:solidFill>
          </w14:textFill>
        </w:rPr>
        <w:t>反垄断合规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管理</w:t>
      </w:r>
      <w:r>
        <w:rPr>
          <w:rFonts w:hint="eastAsia" w:ascii="Times New Roman" w:hAnsi="Times New Roman" w:eastAsia="仿宋_GB2312"/>
          <w:color w:val="000000" w:themeColor="text1"/>
          <w:sz w:val="32"/>
          <w:szCs w:val="32"/>
          <w:highlight w:val="none"/>
          <w14:textFill>
            <w14:solidFill>
              <w14:schemeClr w14:val="tx1"/>
            </w14:solidFill>
          </w14:textFill>
        </w:rPr>
        <w:t>工作，</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实现</w:t>
      </w:r>
      <w:r>
        <w:rPr>
          <w:rFonts w:hint="eastAsia" w:ascii="Times New Roman" w:hAnsi="Times New Roman" w:eastAsia="仿宋_GB2312"/>
          <w:color w:val="000000" w:themeColor="text1"/>
          <w:sz w:val="32"/>
          <w:szCs w:val="32"/>
          <w:highlight w:val="none"/>
          <w14:textFill>
            <w14:solidFill>
              <w14:schemeClr w14:val="tx1"/>
            </w14:solidFill>
          </w14:textFill>
        </w:rPr>
        <w:t>规则公平、算法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向善</w:t>
      </w:r>
      <w:r>
        <w:rPr>
          <w:rFonts w:hint="eastAsia" w:ascii="Times New Roman" w:hAnsi="Times New Roman" w:eastAsia="仿宋_GB2312"/>
          <w:color w:val="000000" w:themeColor="text1"/>
          <w:sz w:val="32"/>
          <w:szCs w:val="32"/>
          <w:highlight w:val="none"/>
          <w14:textFill>
            <w14:solidFill>
              <w14:schemeClr w14:val="tx1"/>
            </w14:solidFill>
          </w14:textFill>
        </w:rPr>
        <w:t>、竞争合规：</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（一）针对性原则。结合</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所处行业、商业模式和治理结构等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因素</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，有针对性地识别、评估和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防控</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合规风险，</w:t>
      </w:r>
      <w:r>
        <w:rPr>
          <w:rFonts w:hint="eastAsia" w:ascii="Times New Roman" w:hAnsi="Times New Roman" w:eastAsia="仿宋_GB2312"/>
          <w:color w:val="000000" w:themeColor="text1"/>
          <w:sz w:val="32"/>
          <w:szCs w:val="32"/>
          <w:highlight w:val="none"/>
          <w14:textFill>
            <w14:solidFill>
              <w14:schemeClr w14:val="tx1"/>
            </w14:solidFill>
          </w14:textFill>
        </w:rPr>
        <w:t>开展反垄断合规管理。</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olor w:val="000000" w:themeColor="text1"/>
          <w:sz w:val="32"/>
          <w:szCs w:val="32"/>
          <w:highlight w:val="none"/>
          <w14:textFill>
            <w14:solidFill>
              <w14:schemeClr w14:val="tx1"/>
            </w14:solidFill>
          </w14:textFill>
        </w:rPr>
        <w:t>）全面性原则。推进事前事中事后全链条合规，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实现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业务领域、部门</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员工</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全覆盖</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贯穿决策、执行、监督各环节</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构建协同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联动的全面合规体系</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三</w:t>
      </w:r>
      <w:r>
        <w:rPr>
          <w:rFonts w:hint="eastAsia" w:ascii="Times New Roman" w:hAnsi="Times New Roman" w:eastAsia="仿宋_GB2312"/>
          <w:color w:val="000000" w:themeColor="text1"/>
          <w:sz w:val="32"/>
          <w:szCs w:val="32"/>
          <w:highlight w:val="none"/>
          <w14:textFill>
            <w14:solidFill>
              <w14:schemeClr w14:val="tx1"/>
            </w14:solidFill>
          </w14:textFill>
        </w:rPr>
        <w:t>）穿透性原则。贯通</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平台</w:t>
      </w:r>
      <w:r>
        <w:rPr>
          <w:rFonts w:hint="eastAsia" w:ascii="Times New Roman" w:hAnsi="Times New Roman" w:eastAsia="仿宋_GB2312"/>
          <w:color w:val="000000" w:themeColor="text1"/>
          <w:sz w:val="32"/>
          <w:szCs w:val="32"/>
          <w:highlight w:val="none"/>
          <w14:textFill>
            <w14:solidFill>
              <w14:schemeClr w14:val="tx1"/>
            </w14:solidFill>
          </w14:textFill>
        </w:rPr>
        <w:t>经营者总部和分公司、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控股</w:t>
      </w:r>
      <w:r>
        <w:rPr>
          <w:rFonts w:hint="eastAsia" w:ascii="Times New Roman" w:hAnsi="Times New Roman" w:eastAsia="仿宋_GB2312"/>
          <w:color w:val="000000" w:themeColor="text1"/>
          <w:sz w:val="32"/>
          <w:szCs w:val="32"/>
          <w:highlight w:val="none"/>
          <w14:textFill>
            <w14:solidFill>
              <w14:schemeClr w14:val="tx1"/>
            </w14:solidFill>
          </w14:textFill>
        </w:rPr>
        <w:t>子公司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等</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完善</w:t>
      </w:r>
      <w:r>
        <w:rPr>
          <w:rFonts w:hint="eastAsia" w:ascii="Times New Roman" w:hAnsi="Times New Roman" w:eastAsia="仿宋_GB2312"/>
          <w:color w:val="000000" w:themeColor="text1"/>
          <w:sz w:val="32"/>
          <w:szCs w:val="32"/>
          <w:highlight w:val="none"/>
          <w14:textFill>
            <w14:solidFill>
              <w14:schemeClr w14:val="tx1"/>
            </w14:solidFill>
          </w14:textFill>
        </w:rPr>
        <w:t>总部指导、协调、监督和考核</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机制，压实</w:t>
      </w:r>
      <w:r>
        <w:rPr>
          <w:rFonts w:hint="eastAsia" w:ascii="Times New Roman" w:hAnsi="Times New Roman" w:eastAsia="仿宋_GB2312"/>
          <w:color w:val="000000" w:themeColor="text1"/>
          <w:sz w:val="32"/>
          <w:szCs w:val="32"/>
          <w:highlight w:val="none"/>
          <w14:textFill>
            <w14:solidFill>
              <w14:schemeClr w14:val="tx1"/>
            </w14:solidFill>
          </w14:textFill>
        </w:rPr>
        <w:t>各分支机构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等</w:t>
      </w:r>
      <w:r>
        <w:rPr>
          <w:rFonts w:hint="eastAsia" w:ascii="Times New Roman" w:hAnsi="Times New Roman" w:eastAsia="仿宋_GB2312"/>
          <w:color w:val="000000" w:themeColor="text1"/>
          <w:sz w:val="32"/>
          <w:szCs w:val="32"/>
          <w:highlight w:val="none"/>
          <w14:textFill>
            <w14:solidFill>
              <w14:schemeClr w14:val="tx1"/>
            </w14:solidFill>
          </w14:textFill>
        </w:rPr>
        <w:t>自身合规管理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职责</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实现层级穿透、业务穿透、规则算法穿透。</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bookmarkStart w:id="18" w:name="_Toc1432709306"/>
      <w:bookmarkStart w:id="19" w:name="_Toc1968040013"/>
      <w:bookmarkStart w:id="20" w:name="_Toc1828181602"/>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四</w:t>
      </w:r>
      <w:r>
        <w:rPr>
          <w:rFonts w:hint="eastAsia" w:ascii="Times New Roman" w:hAnsi="Times New Roman" w:eastAsia="仿宋_GB2312"/>
          <w:color w:val="000000" w:themeColor="text1"/>
          <w:sz w:val="32"/>
          <w:szCs w:val="32"/>
          <w:highlight w:val="none"/>
          <w14:textFill>
            <w14:solidFill>
              <w14:schemeClr w14:val="tx1"/>
            </w14:solidFill>
          </w14:textFill>
        </w:rPr>
        <w:t>）持续性原则。健全反垄断合规长效机制，保障合规管理制度持续</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有效</w:t>
      </w:r>
      <w:r>
        <w:rPr>
          <w:rFonts w:hint="eastAsia" w:ascii="Times New Roman" w:hAnsi="Times New Roman" w:eastAsia="仿宋_GB2312"/>
          <w:color w:val="000000" w:themeColor="text1"/>
          <w:sz w:val="32"/>
          <w:szCs w:val="32"/>
          <w:highlight w:val="none"/>
          <w14:textFill>
            <w14:solidFill>
              <w14:schemeClr w14:val="tx1"/>
            </w14:solidFill>
          </w14:textFill>
        </w:rPr>
        <w:t>执行，防止“一次性”“阶段性”合规，定期评估自身合规经营情况，及时更新完善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反垄断</w:t>
      </w:r>
      <w:r>
        <w:rPr>
          <w:rFonts w:hint="eastAsia" w:ascii="Times New Roman" w:hAnsi="Times New Roman" w:eastAsia="仿宋_GB2312"/>
          <w:color w:val="000000" w:themeColor="text1"/>
          <w:sz w:val="32"/>
          <w:szCs w:val="32"/>
          <w:highlight w:val="none"/>
          <w14:textFill>
            <w14:solidFill>
              <w14:schemeClr w14:val="tx1"/>
            </w14:solidFill>
          </w14:textFill>
        </w:rPr>
        <w:t>合规管理制度。</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color w:val="000000" w:themeColor="text1"/>
          <w:kern w:val="0"/>
          <w:sz w:val="32"/>
          <w:szCs w:val="32"/>
          <w:highlight w:val="none"/>
          <w14:textFill>
            <w14:solidFill>
              <w14:schemeClr w14:val="tx1"/>
            </w14:solidFill>
          </w14:textFill>
        </w:rPr>
      </w:pPr>
      <w:r>
        <w:rPr>
          <w:rFonts w:hint="eastAsia" w:ascii="Times New Roman" w:hAnsi="Times New Roman" w:eastAsia="黑体" w:cs="黑体"/>
          <w:color w:val="000000" w:themeColor="text1"/>
          <w:kern w:val="0"/>
          <w:sz w:val="32"/>
          <w:szCs w:val="32"/>
          <w:highlight w:val="none"/>
          <w14:textFill>
            <w14:solidFill>
              <w14:schemeClr w14:val="tx1"/>
            </w14:solidFill>
          </w14:textFill>
        </w:rPr>
        <w:t>第五条 合规总体要求</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平台经营者要切实</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承担反垄断合规主体责任，健全反垄断合规制度，</w:t>
      </w:r>
      <w:r>
        <w:rPr>
          <w:rFonts w:hint="eastAsia" w:ascii="Times New Roman" w:hAnsi="Times New Roman" w:eastAsia="仿宋_GB2312"/>
          <w:color w:val="000000" w:themeColor="text1"/>
          <w:sz w:val="32"/>
          <w:szCs w:val="32"/>
          <w:highlight w:val="none"/>
          <w14:textFill>
            <w14:solidFill>
              <w14:schemeClr w14:val="tx1"/>
            </w14:solidFill>
          </w14:textFill>
        </w:rPr>
        <w:t>加强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反垄断</w:t>
      </w:r>
      <w:r>
        <w:rPr>
          <w:rFonts w:hint="eastAsia" w:ascii="Times New Roman" w:hAnsi="Times New Roman" w:eastAsia="仿宋_GB2312"/>
          <w:color w:val="000000" w:themeColor="text1"/>
          <w:sz w:val="32"/>
          <w:szCs w:val="32"/>
          <w:highlight w:val="none"/>
          <w14:textFill>
            <w14:solidFill>
              <w14:schemeClr w14:val="tx1"/>
            </w14:solidFill>
          </w14:textFill>
        </w:rPr>
        <w:t>合规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管理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依法竞争、合规经营，</w:t>
      </w:r>
      <w:r>
        <w:rPr>
          <w:rFonts w:hint="eastAsia" w:ascii="Times New Roman" w:hAnsi="Times New Roman" w:eastAsia="仿宋_GB2312"/>
          <w:color w:val="000000" w:themeColor="text1"/>
          <w:sz w:val="32"/>
          <w:szCs w:val="32"/>
          <w:highlight w:val="none"/>
          <w14:textFill>
            <w14:solidFill>
              <w14:schemeClr w14:val="tx1"/>
            </w14:solidFill>
          </w14:textFill>
        </w:rPr>
        <w:t>不得利用数据和算法、技术、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资本优势、平台规则等从事《反垄断法》禁止的垄断行为。</w:t>
      </w:r>
    </w:p>
    <w:bookmarkEnd w:id="18"/>
    <w:bookmarkEnd w:id="19"/>
    <w:bookmarkEnd w:id="20"/>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14:textFill>
            <w14:solidFill>
              <w14:schemeClr w14:val="tx1"/>
            </w14:solidFill>
          </w14:textFill>
        </w:rPr>
      </w:pPr>
      <w:bookmarkStart w:id="21" w:name="_Toc1135947181"/>
      <w:bookmarkStart w:id="22" w:name="_Toc986018201"/>
      <w:bookmarkStart w:id="23" w:name="_Toc732446348"/>
      <w:bookmarkStart w:id="24" w:name="_Toc1921510162"/>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黑体" w:cs="黑体"/>
          <w:color w:val="000000" w:themeColor="text1"/>
          <w:kern w:val="0"/>
          <w:sz w:val="32"/>
          <w:szCs w:val="32"/>
          <w:highlight w:val="none"/>
          <w14:textFill>
            <w14:solidFill>
              <w14:schemeClr w14:val="tx1"/>
            </w14:solidFill>
          </w14:textFill>
        </w:rPr>
        <w:t>第二章 风险</w:t>
      </w:r>
      <w:bookmarkEnd w:id="21"/>
      <w:bookmarkEnd w:id="22"/>
      <w:bookmarkEnd w:id="23"/>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识别</w:t>
      </w:r>
      <w:bookmarkEnd w:id="24"/>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default" w:ascii="Times New Roman" w:hAnsi="Times New Roman" w:eastAsia="黑体" w:cs="黑体"/>
          <w:color w:val="000000" w:themeColor="text1"/>
          <w:kern w:val="0"/>
          <w:sz w:val="32"/>
          <w:szCs w:val="32"/>
          <w:highlight w:val="none"/>
          <w:lang w:val="en-US" w:eastAsia="zh-CN"/>
          <w14:textFill>
            <w14:solidFill>
              <w14:schemeClr w14:val="tx1"/>
            </w14:solidFill>
          </w14:textFill>
        </w:rPr>
      </w:pPr>
      <w:bookmarkStart w:id="25" w:name="_Toc35502616"/>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第一</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节　</w:t>
      </w:r>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垄断协议</w:t>
      </w:r>
      <w:bookmarkEnd w:id="25"/>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bookmarkStart w:id="26" w:name="_Toc646491076"/>
      <w:bookmarkStart w:id="27" w:name="_Toc348831185"/>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垄断协议，是指排除、限制竞争的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协议、决定</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或者其他</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协同行为。</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《反垄断法》禁止经营者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达成</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垄断协议。</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平台经营者要避免在提供平台服务或者开展自营业务等过程中达成垄断协议，以及组织其他经营者达成垄断协议或者提供实质性帮助。</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平台经营者识别垄断协议风险，通常首先分析相关行为是否属于《反垄断法》第十七条、第十八条第一款和第十九条规定的情形，再分析上述行为是否符合《反垄断法》规定的不予禁止或者豁免条件。</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28" w:name="_Toc2099356284"/>
      <w:bookmarkStart w:id="29" w:name="_Toc298562054"/>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六</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横向垄断协议</w:t>
      </w:r>
      <w:bookmarkEnd w:id="28"/>
      <w:bookmarkEnd w:id="29"/>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具有竞争关系的平台经营者，要避免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达成固定</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或者变更</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价格、</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限制产（销）量、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分割市场、限制新技术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产品</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、联合抵制交易等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横向</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垄断协议</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（一）利用会议、电话、短信、电子邮件、共享文档、即时通讯工具、共享数据池、互操作协议、云存储平台、人工智能等进行意思联络和信息交流；</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（二）收集、交换</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定价模式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佣金比例、</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优惠政策</w:t>
      </w:r>
      <w:r>
        <w:rPr>
          <w:rFonts w:ascii="Times New Roman" w:hAnsi="Times New Roman" w:eastAsia="仿宋_GB2312" w:cs="宋体"/>
          <w:color w:val="000000" w:themeColor="text1"/>
          <w:kern w:val="0"/>
          <w:sz w:val="32"/>
          <w:szCs w:val="32"/>
          <w:highlight w:val="none"/>
          <w14:textFill>
            <w14:solidFill>
              <w14:schemeClr w14:val="tx1"/>
            </w14:solidFill>
          </w14:textFill>
        </w:rPr>
        <w:t>、客户名单</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、流量分配机制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以及研发、投资、生产、营销、推广策略</w:t>
      </w:r>
      <w:r>
        <w:rPr>
          <w:rFonts w:ascii="Times New Roman" w:hAnsi="Times New Roman" w:eastAsia="仿宋_GB2312" w:cs="宋体"/>
          <w:color w:val="000000" w:themeColor="text1"/>
          <w:kern w:val="0"/>
          <w:sz w:val="32"/>
          <w:szCs w:val="32"/>
          <w:highlight w:val="none"/>
          <w14:textFill>
            <w14:solidFill>
              <w14:schemeClr w14:val="tx1"/>
            </w14:solidFill>
          </w14:textFill>
        </w:rPr>
        <w:t>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竞争性敏感信息；</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（三）利用数据、算法、技术、平台规则等实现用户分类、动态定价、流量分配、商品排序等方面的协调一致行为。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pPr>
            <w:bookmarkStart w:id="30" w:name="_Toc1562055840"/>
            <w:bookmarkStart w:id="31" w:name="_Toc1347986048"/>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风险示例：平台间算法共谋</w:t>
            </w:r>
            <w:bookmarkEnd w:id="30"/>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具有竞争关系的平台经营者利用算法</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，通过意思联络、</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交换敏感信息、</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行为</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协调一致</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等方式</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达成垄断协议</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。比如：平台经营者</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甲、乙之间具有竞争关系，甲和乙通过算法进行共谋，统一定价机制、抽佣比例等</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达成横向垄断协议，排除、限制市场竞争</w:t>
            </w:r>
            <w:r>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32" w:name="_Toc284558012"/>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七</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纵向垄断协议</w:t>
      </w:r>
      <w:bookmarkEnd w:id="31"/>
      <w:bookmarkEnd w:id="32"/>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通过以下方式与交易相对人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达成固定转售价格、限定最低</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转售</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价格等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纵向</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垄断协议</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一）利用大数据分析、人工智能等技术手段对转售价格进行自动化设定；</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（二）利用接口调用、数据使用、流量分配、促销活动、店铺管理、用户权益保护等方面的平台规则对转售价格进行统一；</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（三）利用用户画像、预测算法等对转售价格进行直接或者间接限定。</w:t>
      </w:r>
      <w:bookmarkEnd w:id="26"/>
      <w:bookmarkEnd w:id="27"/>
      <w:bookmarkStart w:id="33" w:name="_Toc981986231"/>
      <w:bookmarkStart w:id="34" w:name="_Toc1916056658"/>
      <w:bookmarkStart w:id="35" w:name="_Toc1857681392"/>
      <w:bookmarkStart w:id="36" w:name="_Toc1764997671"/>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八</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组织与实质性帮助</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组织</w:t>
      </w:r>
      <w:r>
        <w:rPr>
          <w:rFonts w:ascii="Times New Roman" w:hAnsi="Times New Roman" w:eastAsia="仿宋_GB2312" w:cs="宋体"/>
          <w:color w:val="000000" w:themeColor="text1"/>
          <w:kern w:val="0"/>
          <w:sz w:val="32"/>
          <w:szCs w:val="32"/>
          <w:highlight w:val="none"/>
          <w14:textFill>
            <w14:solidFill>
              <w14:schemeClr w14:val="tx1"/>
            </w14:solidFill>
          </w14:textFill>
        </w:rPr>
        <w:t>平台内经营者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等其他经营者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达成垄断协议或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为达成垄断协议提供实质性帮助</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（一）通过共享数据、发布通知、签署协议等组织、协调平台内经营者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等其他经营者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进行意思联络；</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为平台内经营者等其他经营者获取竞争性敏感信息、实现协调一致行为提供必要支持、创造关键性便利条件等。</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default"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pPr>
            <w:bookmarkStart w:id="37" w:name="_Toc382538364"/>
            <w:bookmarkStart w:id="38" w:name="_Toc130985550"/>
            <w:bookmarkStart w:id="39" w:name="_Toc1395878056"/>
            <w:bookmarkStart w:id="40" w:name="_Toc1520096792"/>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w:t>
            </w:r>
            <w:bookmarkEnd w:id="37"/>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组织帮助平台内经营者达成垄断协议</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平台经营者组织、协调具有竞争关系的平台内经营者达成横向协议，或者通过提供必要支持、创造关键性条件进行实质性帮助。比如：平台经营者甲与具有竞争关系的平台内经营者分别签署内容相同或者相似的调价协议，在此过程中，促成平台内经营者进行了意思联络，交换了竞争性敏感信息，最终形成一致的定价行为，排除、限制市场竞争。</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default" w:ascii="Times New Roman" w:hAnsi="Times New Roman" w:eastAsia="黑体" w:cs="黑体"/>
          <w:color w:val="000000" w:themeColor="text1"/>
          <w:kern w:val="0"/>
          <w:sz w:val="32"/>
          <w:szCs w:val="32"/>
          <w:highlight w:val="none"/>
          <w:lang w:val="en-US" w:eastAsia="zh-CN"/>
          <w14:textFill>
            <w14:solidFill>
              <w14:schemeClr w14:val="tx1"/>
            </w14:solidFill>
          </w14:textFill>
        </w:rPr>
      </w:pPr>
      <w:bookmarkStart w:id="41" w:name="_Toc1596146504"/>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第二</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节　</w:t>
      </w:r>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滥用市场支配地位行为</w:t>
      </w:r>
      <w:bookmarkEnd w:id="41"/>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滥用市场支配地位行为，是指</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具有市场支配地位的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经营者从事的以不公平高价销售、以不公平低价购买或者没有正当理由低于成本销售、拒绝交易、限定交易、搭售、附加其他不合理条件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、差别待遇</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等行为。《反垄断法》禁止</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具有市场支配地位的经营者从事滥用市场支配地位行为</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。市场力量较大的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平台经营者要</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定期评估是否在相关市场具有市场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支配地位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避免在提供平台服务或者开展自营业务等过程中从事滥用市场支配地位行为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识别滥用市场支配地位行为风险，通常首先界定相关市场，</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评估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在相关市场是否具有市场支配地位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是否实施相关行为，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再结合</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是否具有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正当理由以及相关行为是否排除、限制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市场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竞争，具体分析是否构成滥用市场支配地位行为。</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42" w:name="_Toc613026939"/>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九</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市场支配地位的</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考虑</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因素</w:t>
      </w:r>
      <w:bookmarkEnd w:id="38"/>
      <w:bookmarkEnd w:id="42"/>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评估在相关市场是否具有市场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支配地位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，可以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以下</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因素：</w:t>
      </w:r>
    </w:p>
    <w:p>
      <w:pPr>
        <w:keepNext w:val="0"/>
        <w:keepLines w:val="0"/>
        <w:pageBreakBefore w:val="0"/>
        <w:widowControl w:val="0"/>
        <w:kinsoku/>
        <w:wordWrap/>
        <w:overflowPunct/>
        <w:topLinePunct w:val="0"/>
        <w:autoSpaceDE/>
        <w:autoSpaceDN/>
        <w:bidi w:val="0"/>
        <w:adjustRightInd/>
        <w:snapToGrid/>
        <w:spacing w:after="0" w:line="550" w:lineRule="exact"/>
        <w:ind w:firstLine="0"/>
        <w:jc w:val="left"/>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bookmarkStart w:id="43" w:name="_Toc6641535"/>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市场份额以及相关市场竞争状况</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确定平台经营者市场份额，</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考虑交易金额、交易数量、销售额、注册用户数、活跃用户数、点击量、使用时长</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平台内经营者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数</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或者其他指标</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在相关市场所占比重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，同时考虑</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该市场份额持续的时间</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。分析</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相关市场竞争状况，</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考虑相关市场的发展状况、竞争性平台</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数量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及</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市场份额、平台竞争特点、平台差异程度、规模经济、潜在竞争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性平台经营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者情况、创新和技术变化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控制市场的能力</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可以结合</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线上和线下业务多样性、</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纵向一体化</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因素考虑平台经营者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控制上下游市场或者其他关联市场的能力，阻碍、影响其他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经营者进入相关市场的能力，相关经营模式、网络效应，以及影响或者决定价格、流量或者其他交易条件的能力等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财力和技术条件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考虑投资者情况、资产规模、资本来源、盈利能力、融资能力、技术创新和应用能力、拥有的知识产权、掌握和处理相关数据的能力，</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及</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该财力和技术条件能够以何种程度</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促进业务扩张或者巩固、维持市场地位等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（四）平台内经营者等其他经营者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对该平台经营者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在交易上的依赖程度</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考虑其他经营者与该</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经营者的交易关系、交易量、交易持续时间，锁定效应、用户黏性，以及其他经营者转向其他平台的可能性</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以及</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转换成本等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（五）其他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经营者进入相关市场的难易程度</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考虑市场准入、平台规模效应、资金投入规模、技术壁垒、用户多栖性、用户转换成本、数据获取的难易程度、用户习惯等。</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（六）基于平台经济特点认定</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经营者具有市场支配地位的其他因素。</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44" w:name="_Toc38837177"/>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十</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不公平</w:t>
      </w:r>
      <w:bookmarkEnd w:id="43"/>
      <w:bookmarkEnd w:id="44"/>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高价或者不公平低价</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以不公平的高价销售商品或者以不公平的低价购买商品：</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（一）向平台内经营者收取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明</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显高于其他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同类业务</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平台经营者在相同或者相似市场条件下的佣金、注册费、手续费、会员费、技术服务费、信息服务费、营销推广费等费</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用</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，或者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在成本基本稳定的情况下，超过正常幅度</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提高向平台内经营者收取的上述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费</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用</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通过拆分服务项目、增加收费名目等，变相</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向平台内经营者收取不公平的高额价格</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向平台内经营者支付</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明</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显</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低</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于其他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同类业务</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平台经营者在相同或者相似市场条件下</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的商品价格</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pPr>
            <w:bookmarkStart w:id="45" w:name="_Toc1323333370"/>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w:t>
            </w:r>
            <w:r>
              <w:rPr>
                <w:rFonts w:hint="eastAsia" w:ascii="Times New Roman" w:hAnsi="Times New Roman" w:eastAsia="方正楷体_GBK" w:cs="方正楷体_GBK"/>
                <w:b/>
                <w:bCs/>
                <w:color w:val="000000" w:themeColor="text1"/>
                <w:kern w:val="0"/>
                <w:sz w:val="32"/>
                <w:szCs w:val="32"/>
                <w:highlight w:val="none"/>
                <w14:textFill>
                  <w14:solidFill>
                    <w14:schemeClr w14:val="tx1"/>
                  </w14:solidFill>
                </w14:textFill>
              </w:rPr>
              <w:t>平台</w:t>
            </w:r>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不公平高价</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具有市场支配地位的平台经营者，借助平台规则、技术和算法等，滥用市场支配地位，向平台内经营者收取不公平的高额费用。比如：具有市场支配地位的平台经营者甲，在成本基本稳定的情况下，连续多年超过正常幅度提高服务费用，对平台内经营者收取不公平的高额费用，损害平台内经营者利益。</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46" w:name="_Toc1547207015"/>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一</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低于成本销售</w:t>
      </w:r>
      <w:bookmarkEnd w:id="45"/>
      <w:bookmarkEnd w:id="46"/>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没有正当理由，</w:t>
      </w:r>
      <w:bookmarkStart w:id="47" w:name="OLE_LINK2"/>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通过过度补贴、交叉补贴等方式，</w:t>
      </w:r>
      <w:bookmarkEnd w:id="47"/>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以低于成本的价格销售商品或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提供服务，排除、限制市场竞争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分析是否构成低于成本销售，一般重点考虑平台经营者是否以低于成本的价格排挤</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竞争性平台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经营者，以及是否可能在将</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竞争性平台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经营者排挤出市场后，获取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非公平竞争水平下的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不当利益、损害市场公平竞争和消费者合法权益等情况。</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在计算成本时，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可以</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综合考虑平台涉及多边市场中各相关市场之间的成本关联情况</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及其合理性。</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方正楷体_GBK" w:cs="方正楷体_GBK"/>
                <w:b w:val="0"/>
                <w:bCs w:val="0"/>
                <w:color w:val="000000" w:themeColor="text1"/>
                <w:kern w:val="0"/>
                <w:sz w:val="32"/>
                <w:szCs w:val="32"/>
                <w:highlight w:val="none"/>
                <w:lang w:val="en-US" w:eastAsia="zh-CN"/>
                <w14:textFill>
                  <w14:solidFill>
                    <w14:schemeClr w14:val="tx1"/>
                  </w14:solidFill>
                </w14:textFill>
              </w:rPr>
            </w:pPr>
            <w:bookmarkStart w:id="48" w:name="_Toc954408598"/>
            <w:bookmarkStart w:id="49" w:name="_Toc817485780"/>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w:t>
            </w:r>
            <w:r>
              <w:rPr>
                <w:rFonts w:hint="eastAsia" w:ascii="Times New Roman" w:hAnsi="Times New Roman" w:eastAsia="方正楷体_GBK" w:cs="方正楷体_GBK"/>
                <w:b/>
                <w:bCs/>
                <w:color w:val="000000" w:themeColor="text1"/>
                <w:kern w:val="0"/>
                <w:sz w:val="32"/>
                <w:szCs w:val="32"/>
                <w:highlight w:val="none"/>
                <w14:textFill>
                  <w14:solidFill>
                    <w14:schemeClr w14:val="tx1"/>
                  </w14:solidFill>
                </w14:textFill>
              </w:rPr>
              <w:t>平台</w:t>
            </w:r>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低于成本销售</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kern w:val="0"/>
                <w:sz w:val="32"/>
                <w:szCs w:val="32"/>
                <w:highlight w:val="none"/>
                <w:lang w:val="en-US" w:eastAsia="zh-CN"/>
                <w14:textFill>
                  <w14:solidFill>
                    <w14:schemeClr w14:val="tx1"/>
                  </w14:solidFill>
                </w14:textFill>
              </w:rPr>
              <w:t>具有市场支配地位的平台经营者，滥用市场支配地位，没有正当理由，通过过度补贴、超过合理限度的优惠政策等方式，以低于成本的价格提供服务，排除、限制市场竞争。比如：具有市场支配地位的平台经营者甲，明显超出合理期限，给予新的平台内经营者免费入驻、大额补贴优惠，待竞争性平台经营者退出相关市场后，大幅提高入驻费等相关费用，获取不当利益，损害了市场公平竞争和消费者合法权益。</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pP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拒绝交易</w:t>
      </w:r>
      <w:bookmarkEnd w:id="48"/>
      <w:bookmarkEnd w:id="49"/>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没有正当理由，</w:t>
      </w:r>
      <w:bookmarkStart w:id="50" w:name="OLE_LINK1"/>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拒绝与</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交易相对人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进行交易</w:t>
      </w:r>
      <w:bookmarkEnd w:id="50"/>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，排除、限制市场竞争：</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（一）通过下架商品、封禁账号、设置复杂的交易流程、限制流量、</w:t>
      </w:r>
      <w:r>
        <w:rPr>
          <w:rFonts w:ascii="Times New Roman" w:hAnsi="Times New Roman" w:eastAsia="仿宋_GB2312" w:cs="宋体"/>
          <w:color w:val="000000" w:themeColor="text1"/>
          <w:kern w:val="0"/>
          <w:sz w:val="32"/>
          <w:szCs w:val="32"/>
          <w:highlight w:val="none"/>
          <w14:textFill>
            <w14:solidFill>
              <w14:schemeClr w14:val="tx1"/>
            </w14:solidFill>
          </w14:textFill>
        </w:rPr>
        <w:t>关闭</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接</w:t>
      </w:r>
      <w:r>
        <w:rPr>
          <w:rFonts w:ascii="Times New Roman" w:hAnsi="Times New Roman" w:eastAsia="仿宋_GB2312" w:cs="宋体"/>
          <w:color w:val="000000" w:themeColor="text1"/>
          <w:kern w:val="0"/>
          <w:sz w:val="32"/>
          <w:szCs w:val="32"/>
          <w:highlight w:val="none"/>
          <w14:textFill>
            <w14:solidFill>
              <w14:schemeClr w14:val="tx1"/>
            </w14:solidFill>
          </w14:textFill>
        </w:rPr>
        <w:t>口</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、中断数据共享</w:t>
      </w:r>
      <w:r>
        <w:rPr>
          <w:rFonts w:ascii="Times New Roman" w:hAnsi="Times New Roman" w:eastAsia="仿宋_GB2312" w:cs="宋体"/>
          <w:color w:val="000000" w:themeColor="text1"/>
          <w:kern w:val="0"/>
          <w:sz w:val="32"/>
          <w:szCs w:val="32"/>
          <w:highlight w:val="none"/>
          <w14:textFill>
            <w14:solidFill>
              <w14:schemeClr w14:val="tx1"/>
            </w14:solidFill>
          </w14:textFill>
        </w:rPr>
        <w:t>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，停止、拖延、中断</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与交易相对人的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交易；</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（二）通过设置不合理的选品条件、</w:t>
      </w:r>
      <w:r>
        <w:rPr>
          <w:rFonts w:ascii="Times New Roman" w:hAnsi="Times New Roman" w:eastAsia="仿宋_GB2312" w:cs="宋体"/>
          <w:color w:val="000000" w:themeColor="text1"/>
          <w:kern w:val="0"/>
          <w:sz w:val="32"/>
          <w:szCs w:val="32"/>
          <w:highlight w:val="none"/>
          <w14:textFill>
            <w14:solidFill>
              <w14:schemeClr w14:val="tx1"/>
            </w14:solidFill>
          </w14:textFill>
        </w:rPr>
        <w:t>显著</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高于</w:t>
      </w:r>
      <w:r>
        <w:rPr>
          <w:rFonts w:ascii="Times New Roman" w:hAnsi="Times New Roman" w:eastAsia="仿宋_GB2312" w:cs="宋体"/>
          <w:color w:val="000000" w:themeColor="text1"/>
          <w:kern w:val="0"/>
          <w:sz w:val="32"/>
          <w:szCs w:val="32"/>
          <w:highlight w:val="none"/>
          <w14:textFill>
            <w14:solidFill>
              <w14:schemeClr w14:val="tx1"/>
            </w14:solidFill>
          </w14:textFill>
        </w:rPr>
        <w:t>市场合理水平的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服务费、停止提供应用程序更新、中断数据更新等，拒绝与</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交易相对人</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进行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交易；</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（三）利用流量分配算法、商品发布规则等，限制获取流量、接受订单，实质性削减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与交易相对人的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交易数量；</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（四）</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制定</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不合理的</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营销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研发</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等平台规则，或者使用歧视性算法设置不合理的限制和障碍，使</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交易相对人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难以开展交易；</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（五）通过</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控制构成必需设施的特定</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数据、模型</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、应用平台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等，拒绝</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与</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交易相对人</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以合理条件进行交易</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pPr>
            <w:bookmarkStart w:id="51" w:name="_Toc318177513"/>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风险示例：封禁屏蔽</w:t>
            </w:r>
            <w:bookmarkEnd w:id="51"/>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具有市场支配地位的平台经营者，滥用市场支配地位，没有正当理由，</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对交易相对人在应用层、传输层、网络层等进行封禁屏蔽</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导致其无法进入相关市场，</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排除、限制市场竞争</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比如：具有市场支配地位的</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平台经营者</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甲</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没有</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正当理由，通过限制链接跳转或者端口接入等方式，</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导致交易相对人</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无法开展特定业务、参与市场竞争</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52" w:name="_Toc988977952"/>
      <w:bookmarkStart w:id="53" w:name="_Toc1507512813"/>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三</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限定交易</w:t>
      </w:r>
      <w:bookmarkEnd w:id="52"/>
      <w:bookmarkEnd w:id="53"/>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没有正当理由</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限定交易相对人只能</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与其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其指定的经营者进行交易，或者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不能与特定经营者进行交易，排除、限制市场竞争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在</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商家入驻、</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平台服务、内容</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发布</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、应用开发</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等平台规则中设置独家合作条款</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，要求平台内经营者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只能</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与</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本</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合作，或者只能将特定商品、内容在本平台发布</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（二）通过活动规则、</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合作</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协议、</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站内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通知等，要求平台内经营者不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能与特定</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竞争性平台</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合作，或者不能参与特定竞争性平台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的促销活动；</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通过</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屏蔽店铺、搜索降权、流量限制、技术障碍、扣取保证金</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罚款、</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取消参加促销活动资格、拖延上线、差别费率等惩罚性措施</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实施限制；</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四</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补贴、折扣、优惠、流量资源支持</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、赠送增值服务</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等激励性措施</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变相实施限制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9" w:firstLineChars="0"/>
              <w:textAlignment w:val="auto"/>
              <w:outlineLvl w:val="2"/>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pPr>
            <w:bookmarkStart w:id="54" w:name="_Toc271925696"/>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w:t>
            </w:r>
            <w:r>
              <w:rPr>
                <w:rFonts w:hint="eastAsia" w:ascii="Times New Roman" w:hAnsi="Times New Roman" w:eastAsia="楷体_GB2312" w:cs="楷体_GB2312"/>
                <w:b/>
                <w:bCs/>
                <w:color w:val="000000" w:themeColor="text1"/>
                <w:kern w:val="0"/>
                <w:sz w:val="32"/>
                <w:szCs w:val="32"/>
                <w:highlight w:val="none"/>
                <w:lang w:val="en-US" w:eastAsia="zh-CN"/>
                <w14:textFill>
                  <w14:solidFill>
                    <w14:schemeClr w14:val="tx1"/>
                  </w14:solidFill>
                </w14:textFill>
              </w:rPr>
              <w:t>：“二选一”行为</w:t>
            </w:r>
            <w:bookmarkEnd w:id="54"/>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具有市场支配地位的平台经营者，滥用市场支配地位，没有正当理由，强迫交易相对人在该平台经营者和其他竞争性平台经营者间作出选择，</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并</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通过惩罚性措施或者激励性措施</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保障</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实施</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前述“二选一”行为，排除、限制市场竞争</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比如：</w:t>
            </w:r>
            <w:r>
              <w:rPr>
                <w:rFonts w:ascii="Times New Roman" w:hAnsi="Times New Roman" w:eastAsia="方正楷体_GBK" w:cs="方正楷体_GBK"/>
                <w:color w:val="000000" w:themeColor="text1"/>
                <w:kern w:val="0"/>
                <w:sz w:val="32"/>
                <w:szCs w:val="32"/>
                <w:highlight w:val="none"/>
                <w14:textFill>
                  <w14:solidFill>
                    <w14:schemeClr w14:val="tx1"/>
                  </w14:solidFill>
                </w14:textFill>
              </w:rPr>
              <w:t>具有市场支配地位</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的</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平台经营者甲，没有正当理由，</w:t>
            </w:r>
            <w:r>
              <w:rPr>
                <w:rFonts w:ascii="Times New Roman" w:hAnsi="Times New Roman" w:eastAsia="方正楷体_GBK" w:cs="方正楷体_GBK"/>
                <w:color w:val="000000" w:themeColor="text1"/>
                <w:kern w:val="0"/>
                <w:sz w:val="32"/>
                <w:szCs w:val="32"/>
                <w:highlight w:val="none"/>
                <w14:textFill>
                  <w14:solidFill>
                    <w14:schemeClr w14:val="tx1"/>
                  </w14:solidFill>
                </w14:textFill>
              </w:rPr>
              <w:t>要求平台内</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经营者承诺</w:t>
            </w:r>
            <w:r>
              <w:rPr>
                <w:rFonts w:ascii="Times New Roman" w:hAnsi="Times New Roman" w:eastAsia="方正楷体_GBK" w:cs="方正楷体_GBK"/>
                <w:color w:val="000000" w:themeColor="text1"/>
                <w:kern w:val="0"/>
                <w:sz w:val="32"/>
                <w:szCs w:val="32"/>
                <w:highlight w:val="none"/>
                <w14:textFill>
                  <w14:solidFill>
                    <w14:schemeClr w14:val="tx1"/>
                  </w14:solidFill>
                </w14:textFill>
              </w:rPr>
              <w:t>不</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与</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竞争性</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平台开展合作，</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并对不遵守</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承诺</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的平台内经营者</w:t>
            </w:r>
            <w:r>
              <w:rPr>
                <w:rFonts w:ascii="Times New Roman" w:hAnsi="Times New Roman" w:eastAsia="方正楷体_GBK" w:cs="方正楷体_GBK"/>
                <w:color w:val="000000" w:themeColor="text1"/>
                <w:kern w:val="0"/>
                <w:sz w:val="32"/>
                <w:szCs w:val="32"/>
                <w:highlight w:val="none"/>
                <w14:textFill>
                  <w14:solidFill>
                    <w14:schemeClr w14:val="tx1"/>
                  </w14:solidFill>
                </w14:textFill>
              </w:rPr>
              <w:t>采</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取</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搜索</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降权</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下架商品</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、限制流量、</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扣取保证金</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等方式予以惩戒，限制平台内经营者自由选择权，产生了排除、限制市场竞争的效果。</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55" w:name="_Toc489663724"/>
      <w:bookmarkStart w:id="56" w:name="_Toc501220348"/>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四</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搭售或者附加</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其他</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不合理条件</w:t>
      </w:r>
      <w:bookmarkEnd w:id="55"/>
      <w:bookmarkEnd w:id="56"/>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方式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没有正当理由，搭售或者附加</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其他</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不合理交易条件，排除、限制市场竞争：</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（一）利用难以选择、更改、拒绝的</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格式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条款</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弹窗、操作必经步骤等，要求平台内经营者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消费者在使用其服务时，必须搭配使用</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指定</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商品；</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通过采取</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搜索降权、流量限制、技术障碍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、关停服务、取消授权</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等惩罚性措施，强制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平台内经营者、消费者等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接受其他商品；</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（三）强制或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变相强制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平台内经营者、消费者等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参加推广、促销、优惠活动，或者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承担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应当由平台经营者承担的费用、风险</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（四）对交易条件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和方式</w:t>
      </w:r>
      <w:r>
        <w:rPr>
          <w:rFonts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服务提供方式、付款方式和手段、</w:t>
      </w:r>
      <w:r>
        <w:rPr>
          <w:rFonts w:ascii="Times New Roman" w:hAnsi="Times New Roman" w:eastAsia="仿宋_GB2312" w:cs="宋体"/>
          <w:color w:val="000000" w:themeColor="text1"/>
          <w:kern w:val="0"/>
          <w:sz w:val="32"/>
          <w:szCs w:val="32"/>
          <w:highlight w:val="none"/>
          <w14:textFill>
            <w14:solidFill>
              <w14:schemeClr w14:val="tx1"/>
            </w14:solidFill>
          </w14:textFill>
        </w:rPr>
        <w:t>售后服务等附加不合理的限制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五</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）在交易价格之外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强制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收取未经明确公示的技术服务费、流量推广费等不合理费用，或者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重复收费等收取交易价格之外的不合理费用；</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六</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）强制收集非必要的用户信息或者附加与交易标的无关的交易条件、交易流程、服务项目。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2"/>
              <w:rPr>
                <w:rFonts w:hint="default" w:ascii="Times New Roman" w:hAnsi="Times New Roman" w:eastAsia="黑体" w:cs="黑体"/>
                <w:color w:val="000000" w:themeColor="text1"/>
                <w:kern w:val="0"/>
                <w:sz w:val="32"/>
                <w:szCs w:val="32"/>
                <w:highlight w:val="none"/>
                <w:lang w:val="en-US" w:eastAsia="zh-CN"/>
                <w14:textFill>
                  <w14:solidFill>
                    <w14:schemeClr w14:val="tx1"/>
                  </w14:solidFill>
                </w14:textFill>
              </w:rPr>
            </w:pPr>
            <w:bookmarkStart w:id="57" w:name="_Toc1088345500"/>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w:t>
            </w:r>
            <w:r>
              <w:rPr>
                <w:rFonts w:hint="eastAsia" w:ascii="Times New Roman" w:hAnsi="Times New Roman" w:eastAsia="楷体_GB2312" w:cs="楷体_GB2312"/>
                <w:b/>
                <w:bCs/>
                <w:color w:val="000000" w:themeColor="text1"/>
                <w:kern w:val="0"/>
                <w:sz w:val="32"/>
                <w:szCs w:val="32"/>
                <w:highlight w:val="none"/>
                <w:lang w:val="en-US" w:eastAsia="zh-CN"/>
                <w14:textFill>
                  <w14:solidFill>
                    <w14:schemeClr w14:val="tx1"/>
                  </w14:solidFill>
                </w14:textFill>
              </w:rPr>
              <w:t>：“全网最低价</w:t>
            </w:r>
            <w:bookmarkEnd w:id="57"/>
            <w:r>
              <w:rPr>
                <w:rFonts w:hint="eastAsia" w:ascii="Times New Roman" w:hAnsi="Times New Roman" w:eastAsia="楷体_GB2312" w:cs="楷体_GB2312"/>
                <w:b/>
                <w:bCs/>
                <w:color w:val="000000" w:themeColor="text1"/>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firstLineChars="0"/>
              <w:textAlignment w:val="auto"/>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具有市场支配地位的</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平台经营者</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，滥用市场支配地位，没有正当理由，要求</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平台内经营者</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向其提供全网最低</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价格</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，排除、限制市场竞争</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比如：</w:t>
            </w:r>
            <w:r>
              <w:rPr>
                <w:rFonts w:ascii="Times New Roman" w:hAnsi="Times New Roman" w:eastAsia="方正楷体_GBK" w:cs="方正楷体_GBK"/>
                <w:color w:val="000000" w:themeColor="text1"/>
                <w:kern w:val="0"/>
                <w:sz w:val="32"/>
                <w:szCs w:val="32"/>
                <w:highlight w:val="none"/>
                <w14:textFill>
                  <w14:solidFill>
                    <w14:schemeClr w14:val="tx1"/>
                  </w14:solidFill>
                </w14:textFill>
              </w:rPr>
              <w:t>具有市场支配地位</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的</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平台经营者甲，没有正当理由，要求平台内经营者在该平台销售的商品价格不得高于其他竞争性平台，若在其他平台降价，须在甲平台内降价至相同或者更低水平，并采取措施确保相关要求的执行，产生排除、限制竞争的效果。</w:t>
            </w:r>
          </w:p>
          <w:p>
            <w:pPr>
              <w:keepNext w:val="0"/>
              <w:keepLines w:val="0"/>
              <w:pageBreakBefore w:val="0"/>
              <w:widowControl w:val="0"/>
              <w:kinsoku/>
              <w:wordWrap/>
              <w:overflowPunct/>
              <w:topLinePunct w:val="0"/>
              <w:autoSpaceDE/>
              <w:autoSpaceDN/>
              <w:bidi w:val="0"/>
              <w:adjustRightInd/>
              <w:snapToGrid/>
              <w:spacing w:after="0" w:line="550" w:lineRule="exact"/>
              <w:ind w:firstLine="627" w:firstLineChars="0"/>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不具有市场支配地位的平台经营者，要求平台内经营者在商品价格、数量等方面向其提供等于或者优于竞争性平台的交易条件，可能构成纵向垄断协议。</w:t>
            </w:r>
          </w:p>
        </w:tc>
      </w:tr>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58" w:name="_Toc820730567"/>
      <w:bookmarkStart w:id="59" w:name="_Toc754845569"/>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五</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差别待遇</w:t>
      </w:r>
      <w:bookmarkEnd w:id="58"/>
      <w:bookmarkEnd w:id="59"/>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具有市场支配地位的平台经营者，要避免</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通过以下方式滥用市场支配地位，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没有正当理由，对交易条件相同的平台内经营者、消费者等交易相对人实施差别待遇，排除、限制市场竞争：</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（一）对商品类别、订单数量、评分等级等交易条件相同的交易相对人，在进入平台、收取费用、营销推广等方面实行差异性标准、规则、算法；</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）基于</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用户偏好</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历史、终端设备等数据，</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利用</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支付能力、</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用户</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黏性</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、价格敏感</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度等分析算法，</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实行差异性</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交易价格、付款条件、交易方式等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前款所称交易</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条件相同</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是指交易相对人之间在交易安全、交易成本、信用状况、所处交易环节、交易持续时间等方面不存在实质性影响交易的差别。平台</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 xml:space="preserve">在交易中获取的交易相对人的隐私信息、交易历史、个体偏好、消费习惯等方面存在的差异不影响认定交易相对人条件相同。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tcPr>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bCs/>
                <w:color w:val="000000" w:themeColor="text1"/>
                <w:kern w:val="0"/>
                <w:sz w:val="32"/>
                <w:szCs w:val="32"/>
                <w:highlight w:val="none"/>
                <w:lang w:val="en-US" w:eastAsia="zh-CN"/>
                <w14:textFill>
                  <w14:solidFill>
                    <w14:schemeClr w14:val="tx1"/>
                  </w14:solidFill>
                </w14:textFill>
              </w:rPr>
              <w:t>风险示例：平台差别待遇</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具有市场支配地位的平台经营者，</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滥用市场支配地位，</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没有</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正当</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理由，对交易条件相同的平台内经营者、消费者等交易相对人</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实施</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价格、政策等方面的</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差别待遇，排除、限制</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市场</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竞争。比如：平台经营者</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甲</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具有市场支配地位</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，没有正当理由，对</w:t>
            </w:r>
            <w:r>
              <w:rPr>
                <w:rFonts w:hint="eastAsia" w:ascii="Times New Roman" w:hAnsi="Times New Roman" w:eastAsia="方正楷体_GBK" w:cs="方正楷体_GBK"/>
                <w:color w:val="000000" w:themeColor="text1"/>
                <w:kern w:val="0"/>
                <w:sz w:val="32"/>
                <w:szCs w:val="32"/>
                <w:highlight w:val="none"/>
                <w:lang w:val="en-US" w:eastAsia="zh-CN"/>
                <w14:textFill>
                  <w14:solidFill>
                    <w14:schemeClr w14:val="tx1"/>
                  </w14:solidFill>
                </w14:textFill>
              </w:rPr>
              <w:t>规模、商品、信用等方面交易条件均相同的平台内经营者，按明显不同的抽佣比例收取佣金</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，产生</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排除、限制</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市场</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竞争</w:t>
            </w:r>
            <w:r>
              <w:rPr>
                <w:rFonts w:hint="eastAsia" w:ascii="Times New Roman" w:hAnsi="Times New Roman" w:eastAsia="方正楷体_GBK" w:cs="方正楷体_GBK"/>
                <w:color w:val="000000" w:themeColor="text1"/>
                <w:kern w:val="0"/>
                <w:sz w:val="32"/>
                <w:szCs w:val="32"/>
                <w:highlight w:val="none"/>
                <w:lang w:eastAsia="zh-CN"/>
                <w14:textFill>
                  <w14:solidFill>
                    <w14:schemeClr w14:val="tx1"/>
                  </w14:solidFill>
                </w14:textFill>
              </w:rPr>
              <w:t>的效果</w:t>
            </w:r>
            <w:r>
              <w:rPr>
                <w:rFonts w:hint="eastAsia" w:ascii="Times New Roman" w:hAnsi="Times New Roman" w:eastAsia="方正楷体_GBK" w:cs="方正楷体_GBK"/>
                <w:color w:val="000000" w:themeColor="text1"/>
                <w:kern w:val="0"/>
                <w:sz w:val="32"/>
                <w:szCs w:val="32"/>
                <w:highlight w:val="none"/>
                <w14:textFill>
                  <w14:solidFill>
                    <w14:schemeClr w14:val="tx1"/>
                  </w14:solidFill>
                </w14:textFill>
              </w:rPr>
              <w:t>。</w:t>
            </w:r>
          </w:p>
        </w:tc>
      </w:tr>
      <w:bookmarkEnd w:id="39"/>
      <w:bookmarkEnd w:id="40"/>
    </w:tbl>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60" w:name="_Toc1678753900"/>
      <w:bookmarkStart w:id="61" w:name="_Toc194144720"/>
      <w:bookmarkStart w:id="62" w:name="_Toc110279710"/>
      <w:bookmarkStart w:id="63" w:name="_Toc600386359"/>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六</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条  正当理由</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在评估是否具有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本指引第十</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条至第十</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五</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规定</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的正当理由</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，可以考虑</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以下</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因素：</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在合理期限内，为发展平台内其他业务、为促进新商品进入市场、开展促销活动等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符合公平、合理、无歧视的平台规则，或者为防止平台经营者利益发生不当减损；</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（三）为保护</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交易相对人、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消费者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从业人员</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合法权益</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或者维护合理的经营模式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所</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必需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（四）符合正当的行业惯例和交易习惯；</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（五）为保护知识产权、商业秘密、个人信息或者针对交易进行的特定资源投入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所</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必需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六</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）为保护</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交易安全、数据</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安全</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或者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网络安全所</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必需；</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七）存在不可抗力等客观因素；</w:t>
      </w:r>
    </w:p>
    <w:bookmarkEnd w:id="63"/>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bookmarkStart w:id="64" w:name="_Toc406942163"/>
      <w:bookmarkStart w:id="65" w:name="_Toc856130636"/>
      <w:bookmarkStart w:id="66" w:name="_Toc1635576065"/>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（八）能够证明行为具有正当性的其他理由。</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与竞争性平台经营者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做法</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一致</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、顺应消费趋势、保护市场价格稳定性、维持平台生态整体性等理由</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一般不属于</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本指引第十</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条至第十</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五</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条规定的正当理由。</w:t>
      </w:r>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default" w:ascii="Times New Roman" w:hAnsi="Times New Roman" w:eastAsia="黑体" w:cs="黑体"/>
          <w:color w:val="000000" w:themeColor="text1"/>
          <w:kern w:val="0"/>
          <w:sz w:val="32"/>
          <w:szCs w:val="32"/>
          <w:highlight w:val="none"/>
          <w:lang w:val="en-US" w:eastAsia="zh-CN"/>
          <w14:textFill>
            <w14:solidFill>
              <w14:schemeClr w14:val="tx1"/>
            </w14:solidFill>
          </w14:textFill>
        </w:rPr>
      </w:pPr>
      <w:bookmarkStart w:id="67" w:name="_Toc627984942"/>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第三</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节　</w:t>
      </w:r>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经营者集中</w:t>
      </w:r>
      <w:bookmarkEnd w:id="67"/>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经营者集中包括以下情形：经营者合并，经营者通过取得股权或者资产的方式取得对其他经营者的控制权，经营者通过合同等方式取得对其他经营者的控制权或者能够对其他经营者施加决定性影响。</w:t>
      </w:r>
      <w:bookmarkStart w:id="68" w:name="_Toc264734625"/>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七</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 xml:space="preserve">条  </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经营者集中</w:t>
      </w:r>
      <w:bookmarkEnd w:id="64"/>
      <w:bookmarkEnd w:id="65"/>
      <w:bookmarkEnd w:id="66"/>
      <w:bookmarkEnd w:id="68"/>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申报</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经营者集中达到申报标准的，经营者应当事先向市场监管总局申报，未申报或者申报后获得批准前不得实施集中。</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pPr>
      <w:bookmarkStart w:id="69" w:name="_Toc1818133238"/>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第十</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八</w:t>
      </w:r>
      <w:r>
        <w:rPr>
          <w:rFonts w:hint="eastAsia" w:ascii="Times New Roman" w:hAnsi="Times New Roman" w:eastAsia="黑体" w:cs="黑体"/>
          <w:b w:val="0"/>
          <w:bCs w:val="0"/>
          <w:color w:val="000000" w:themeColor="text1"/>
          <w:kern w:val="0"/>
          <w:sz w:val="32"/>
          <w:szCs w:val="32"/>
          <w:highlight w:val="none"/>
          <w14:textFill>
            <w14:solidFill>
              <w14:schemeClr w14:val="tx1"/>
            </w14:solidFill>
          </w14:textFill>
        </w:rPr>
        <w:t xml:space="preserve">条  </w:t>
      </w:r>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经营者集中</w:t>
      </w:r>
      <w:bookmarkEnd w:id="69"/>
      <w:r>
        <w:rPr>
          <w:rFonts w:hint="eastAsia" w:ascii="Times New Roman" w:hAnsi="Times New Roman" w:eastAsia="黑体" w:cs="黑体"/>
          <w:b w:val="0"/>
          <w:bCs w:val="0"/>
          <w:color w:val="000000" w:themeColor="text1"/>
          <w:kern w:val="0"/>
          <w:sz w:val="32"/>
          <w:szCs w:val="32"/>
          <w:highlight w:val="none"/>
          <w:lang w:eastAsia="zh-CN"/>
          <w14:textFill>
            <w14:solidFill>
              <w14:schemeClr w14:val="tx1"/>
            </w14:solidFill>
          </w14:textFill>
        </w:rPr>
        <w:t>合规</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平台经营者可以参考《经营者集中反垄断合规指引》，识别、评估和管控经营者集中反垄断合规风险，避免具有或者可能具有排除、限制竞争效果的经营者集中，防范因违法实施集中承担法律责任。</w:t>
      </w:r>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default" w:ascii="Times New Roman" w:hAnsi="Times New Roman" w:eastAsia="黑体" w:cs="黑体"/>
          <w:color w:val="000000" w:themeColor="text1"/>
          <w:kern w:val="0"/>
          <w:sz w:val="32"/>
          <w:szCs w:val="32"/>
          <w:highlight w:val="none"/>
          <w:lang w:val="en-US" w:eastAsia="zh-CN"/>
          <w14:textFill>
            <w14:solidFill>
              <w14:schemeClr w14:val="tx1"/>
            </w14:solidFill>
          </w14:textFill>
        </w:rPr>
      </w:pPr>
      <w:bookmarkStart w:id="70" w:name="_Toc2131969333"/>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第四</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节　</w:t>
      </w:r>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滥用行政权力排除、限制竞争</w:t>
      </w:r>
      <w:bookmarkEnd w:id="70"/>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《反垄断法》禁止</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行政机关和法律、法规授权的具有管理公共事务职能的组织（以下称行政主体）滥用行政权力排除、限制竞争。平台经营者要避免主动或者被动在行政主体协调、推动或者要求下从事垄断行为。</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71" w:name="_Toc465225694"/>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第十九条  行政主体协调、推动的垄断行为</w:t>
      </w:r>
      <w:bookmarkEnd w:id="71"/>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平台经营者要避免主动参与行政主体协调或者推动的《反垄断法》禁止的垄断行为，或者利用与行政主体签订合作协议、备忘录等实施垄断行为。</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72" w:name="_Toc383387347"/>
      <w:bookmarkStart w:id="73" w:name="_Toc227184774"/>
      <w:bookmarkStart w:id="74" w:name="_Toc748523236"/>
      <w:bookmarkStart w:id="75" w:name="_Toc1938572143"/>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第二十条  行政主体要求的垄断行为</w:t>
      </w:r>
      <w:bookmarkEnd w:id="72"/>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行政主体要求平台经营者从事垄断行为时，鼓励平台经营者予以明确拒绝，并保存相应的证据材料。</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收到行政主体要求执行的办法、决定、公告、通知、意见、函件、会议纪要等文件时，要重点关注文件内容是否存在反垄断合规风险，存在风险的，及时向行政主体作出提示，必要时向反垄断执法机构反映。</w:t>
      </w:r>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14:textFill>
            <w14:solidFill>
              <w14:schemeClr w14:val="tx1"/>
            </w14:solidFill>
          </w14:textFill>
        </w:rPr>
      </w:pPr>
      <w:bookmarkStart w:id="76" w:name="_Toc1362483557"/>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黑体" w:cs="黑体"/>
          <w:color w:val="000000" w:themeColor="text1"/>
          <w:kern w:val="0"/>
          <w:sz w:val="32"/>
          <w:szCs w:val="32"/>
          <w:highlight w:val="none"/>
          <w14:textFill>
            <w14:solidFill>
              <w14:schemeClr w14:val="tx1"/>
            </w14:solidFill>
          </w14:textFill>
        </w:rPr>
        <w:t>第三章</w:t>
      </w:r>
      <w:bookmarkEnd w:id="73"/>
      <w:bookmarkEnd w:id="74"/>
      <w:bookmarkEnd w:id="75"/>
      <w:bookmarkStart w:id="77" w:name="_Toc236641466"/>
      <w:bookmarkStart w:id="78" w:name="_Toc1586700792"/>
      <w:bookmarkStart w:id="79" w:name="_Toc1826129933"/>
      <w:r>
        <w:rPr>
          <w:rFonts w:hint="eastAsia" w:ascii="Times New Roman" w:hAnsi="Times New Roman" w:eastAsia="黑体" w:cs="黑体"/>
          <w:color w:val="000000" w:themeColor="text1"/>
          <w:kern w:val="0"/>
          <w:sz w:val="32"/>
          <w:szCs w:val="32"/>
          <w:highlight w:val="none"/>
          <w14:textFill>
            <w14:solidFill>
              <w14:schemeClr w14:val="tx1"/>
            </w14:solidFill>
          </w14:textFill>
        </w:rPr>
        <w:t xml:space="preserve">  </w:t>
      </w:r>
      <w:bookmarkEnd w:id="77"/>
      <w:bookmarkEnd w:id="78"/>
      <w:bookmarkEnd w:id="79"/>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风险管理</w:t>
      </w:r>
      <w:bookmarkEnd w:id="76"/>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80" w:name="_Toc783588489"/>
      <w:bookmarkStart w:id="81" w:name="_Toc933441507"/>
      <w:bookmarkStart w:id="82" w:name="_Toc157168128"/>
      <w:bookmarkStart w:id="83" w:name="_Toc1588421262"/>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第二十一条  风险评估</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平台经营者可以</w:t>
      </w:r>
      <w:r>
        <w:rPr>
          <w:rFonts w:ascii="Times New Roman" w:hAnsi="Times New Roman" w:eastAsia="仿宋_GB2312" w:cs="宋体"/>
          <w:color w:val="000000" w:themeColor="text1"/>
          <w:kern w:val="0"/>
          <w:sz w:val="32"/>
          <w:szCs w:val="32"/>
          <w:highlight w:val="none"/>
          <w14:textFill>
            <w14:solidFill>
              <w14:schemeClr w14:val="tx1"/>
            </w14:solidFill>
          </w14:textFill>
        </w:rPr>
        <w:t>根据</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所处行业特点</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市场竞争状况</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结合</w:t>
      </w:r>
      <w:r>
        <w:rPr>
          <w:rFonts w:ascii="Times New Roman" w:hAnsi="Times New Roman" w:eastAsia="仿宋_GB2312" w:cs="宋体"/>
          <w:color w:val="000000" w:themeColor="text1"/>
          <w:kern w:val="0"/>
          <w:sz w:val="32"/>
          <w:szCs w:val="32"/>
          <w:highlight w:val="none"/>
          <w14:textFill>
            <w14:solidFill>
              <w14:schemeClr w14:val="tx1"/>
            </w14:solidFill>
          </w14:textFill>
        </w:rPr>
        <w:t>自身经营规模、</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商业模式</w:t>
      </w:r>
      <w:r>
        <w:rPr>
          <w:rFonts w:ascii="Times New Roman" w:hAnsi="Times New Roman" w:eastAsia="仿宋_GB2312" w:cs="宋体"/>
          <w:color w:val="000000" w:themeColor="text1"/>
          <w:kern w:val="0"/>
          <w:sz w:val="32"/>
          <w:szCs w:val="32"/>
          <w:highlight w:val="none"/>
          <w14:textFill>
            <w14:solidFill>
              <w14:schemeClr w14:val="tx1"/>
            </w14:solidFill>
          </w14:textFill>
        </w:rPr>
        <w:t>等因素，</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建立</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风险</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评估指标体系，</w:t>
      </w:r>
      <w:r>
        <w:rPr>
          <w:rFonts w:ascii="Times New Roman" w:hAnsi="Times New Roman" w:eastAsia="仿宋_GB2312" w:cs="宋体"/>
          <w:color w:val="000000" w:themeColor="text1"/>
          <w:kern w:val="0"/>
          <w:sz w:val="32"/>
          <w:szCs w:val="32"/>
          <w:highlight w:val="none"/>
          <w14:textFill>
            <w14:solidFill>
              <w14:schemeClr w14:val="tx1"/>
            </w14:solidFill>
          </w14:textFill>
        </w:rPr>
        <w:t>全面</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评估</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反垄断</w:t>
      </w:r>
      <w:r>
        <w:rPr>
          <w:rFonts w:ascii="Times New Roman" w:hAnsi="Times New Roman" w:eastAsia="仿宋_GB2312" w:cs="宋体"/>
          <w:color w:val="000000" w:themeColor="text1"/>
          <w:kern w:val="0"/>
          <w:sz w:val="32"/>
          <w:szCs w:val="32"/>
          <w:highlight w:val="none"/>
          <w14:textFill>
            <w14:solidFill>
              <w14:schemeClr w14:val="tx1"/>
            </w14:solidFill>
          </w14:textFill>
        </w:rPr>
        <w:t>合规风险</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鼓励平台经营者基于风险评估施行分类</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分级管理，</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对</w:t>
      </w:r>
      <w:r>
        <w:rPr>
          <w:rFonts w:ascii="Times New Roman" w:hAnsi="Times New Roman" w:eastAsia="仿宋_GB2312" w:cs="宋体"/>
          <w:color w:val="000000" w:themeColor="text1"/>
          <w:kern w:val="0"/>
          <w:sz w:val="32"/>
          <w:szCs w:val="32"/>
          <w:highlight w:val="none"/>
          <w14:textFill>
            <w14:solidFill>
              <w14:schemeClr w14:val="tx1"/>
            </w14:solidFill>
          </w14:textFill>
        </w:rPr>
        <w:t>不同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类别、</w:t>
      </w:r>
      <w:r>
        <w:rPr>
          <w:rFonts w:ascii="Times New Roman" w:hAnsi="Times New Roman" w:eastAsia="仿宋_GB2312" w:cs="宋体"/>
          <w:color w:val="000000" w:themeColor="text1"/>
          <w:kern w:val="0"/>
          <w:sz w:val="32"/>
          <w:szCs w:val="32"/>
          <w:highlight w:val="none"/>
          <w14:textFill>
            <w14:solidFill>
              <w14:schemeClr w14:val="tx1"/>
            </w14:solidFill>
          </w14:textFill>
        </w:rPr>
        <w:t>等级的风险</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采取不同措施</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84" w:name="_Toc1865170181"/>
      <w:bookmarkStart w:id="85" w:name="_Toc1321736093"/>
      <w:bookmarkStart w:id="86" w:name="_Toc388116363"/>
      <w:bookmarkStart w:id="87" w:name="_Toc36717255"/>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第二十二条  风险提醒</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鼓励平台经营者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对员工施行分岗分级提醒，</w:t>
      </w:r>
      <w:r>
        <w:rPr>
          <w:rFonts w:ascii="Times New Roman" w:hAnsi="Times New Roman" w:eastAsia="仿宋_GB2312" w:cs="宋体"/>
          <w:color w:val="000000" w:themeColor="text1"/>
          <w:kern w:val="0"/>
          <w:sz w:val="32"/>
          <w:szCs w:val="32"/>
          <w:highlight w:val="none"/>
          <w14:textFill>
            <w14:solidFill>
              <w14:schemeClr w14:val="tx1"/>
            </w14:solidFill>
          </w14:textFill>
        </w:rPr>
        <w:t>根据不同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岗位</w:t>
      </w:r>
      <w:r>
        <w:rPr>
          <w:rFonts w:ascii="Times New Roman" w:hAnsi="Times New Roman" w:eastAsia="仿宋_GB2312" w:cs="宋体"/>
          <w:color w:val="000000" w:themeColor="text1"/>
          <w:kern w:val="0"/>
          <w:sz w:val="32"/>
          <w:szCs w:val="32"/>
          <w:highlight w:val="none"/>
          <w14:textFill>
            <w14:solidFill>
              <w14:schemeClr w14:val="tx1"/>
            </w14:solidFill>
          </w14:textFill>
        </w:rPr>
        <w:t>、级别和工作范围的员工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所</w:t>
      </w:r>
      <w:r>
        <w:rPr>
          <w:rFonts w:ascii="Times New Roman" w:hAnsi="Times New Roman" w:eastAsia="仿宋_GB2312" w:cs="宋体"/>
          <w:color w:val="000000" w:themeColor="text1"/>
          <w:kern w:val="0"/>
          <w:sz w:val="32"/>
          <w:szCs w:val="32"/>
          <w:highlight w:val="none"/>
          <w14:textFill>
            <w14:solidFill>
              <w14:schemeClr w14:val="tx1"/>
            </w14:solidFill>
          </w14:textFill>
        </w:rPr>
        <w:t>面临的不同风险，</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针对性</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开</w:t>
      </w:r>
      <w:r>
        <w:rPr>
          <w:rFonts w:ascii="Times New Roman" w:hAnsi="Times New Roman" w:eastAsia="仿宋_GB2312" w:cs="宋体"/>
          <w:color w:val="000000" w:themeColor="text1"/>
          <w:kern w:val="0"/>
          <w:sz w:val="32"/>
          <w:szCs w:val="32"/>
          <w:highlight w:val="none"/>
          <w14:textFill>
            <w14:solidFill>
              <w14:schemeClr w14:val="tx1"/>
            </w14:solidFill>
          </w14:textFill>
        </w:rPr>
        <w:t>展风险</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提醒。</w:t>
      </w:r>
      <w:r>
        <w:rPr>
          <w:rFonts w:ascii="Times New Roman" w:hAnsi="Times New Roman" w:eastAsia="仿宋_GB2312" w:cs="宋体"/>
          <w:color w:val="000000" w:themeColor="text1"/>
          <w:kern w:val="0"/>
          <w:sz w:val="32"/>
          <w:szCs w:val="32"/>
          <w:highlight w:val="none"/>
          <w14:textFill>
            <w14:solidFill>
              <w14:schemeClr w14:val="tx1"/>
            </w14:solidFill>
          </w14:textFill>
        </w:rPr>
        <w:t>重点做好</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以下</w:t>
      </w:r>
      <w:r>
        <w:rPr>
          <w:rFonts w:ascii="Times New Roman" w:hAnsi="Times New Roman" w:eastAsia="仿宋_GB2312" w:cs="宋体"/>
          <w:color w:val="000000" w:themeColor="text1"/>
          <w:kern w:val="0"/>
          <w:sz w:val="32"/>
          <w:szCs w:val="32"/>
          <w:highlight w:val="none"/>
          <w14:textFill>
            <w14:solidFill>
              <w14:schemeClr w14:val="tx1"/>
            </w14:solidFill>
          </w14:textFill>
        </w:rPr>
        <w:t>人员的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风险提醒</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（一）</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法定代表人、董事、</w:t>
      </w:r>
      <w:r>
        <w:rPr>
          <w:rFonts w:ascii="Times New Roman" w:hAnsi="Times New Roman" w:eastAsia="仿宋_GB2312" w:cs="宋体"/>
          <w:color w:val="000000" w:themeColor="text1"/>
          <w:kern w:val="0"/>
          <w:sz w:val="32"/>
          <w:szCs w:val="32"/>
          <w:highlight w:val="none"/>
          <w14:textFill>
            <w14:solidFill>
              <w14:schemeClr w14:val="tx1"/>
            </w14:solidFill>
          </w14:textFill>
        </w:rPr>
        <w:t>高级管理人员；</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主要</w:t>
      </w:r>
      <w:r>
        <w:rPr>
          <w:rFonts w:ascii="Times New Roman" w:hAnsi="Times New Roman" w:eastAsia="仿宋_GB2312" w:cs="宋体"/>
          <w:color w:val="000000" w:themeColor="text1"/>
          <w:kern w:val="0"/>
          <w:sz w:val="32"/>
          <w:szCs w:val="32"/>
          <w:highlight w:val="none"/>
          <w14:textFill>
            <w14:solidFill>
              <w14:schemeClr w14:val="tx1"/>
            </w14:solidFill>
          </w14:textFill>
        </w:rPr>
        <w:t>业务</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负责人、新业务负责人</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（三）</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可能与竞争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性平台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经营者或者上下游经营者</w:t>
      </w:r>
      <w:r>
        <w:rPr>
          <w:rFonts w:ascii="Times New Roman" w:hAnsi="Times New Roman" w:eastAsia="仿宋_GB2312" w:cs="宋体"/>
          <w:color w:val="000000" w:themeColor="text1"/>
          <w:kern w:val="0"/>
          <w:sz w:val="32"/>
          <w:szCs w:val="32"/>
          <w:highlight w:val="none"/>
          <w14:textFill>
            <w14:solidFill>
              <w14:schemeClr w14:val="tx1"/>
            </w14:solidFill>
          </w14:textFill>
        </w:rPr>
        <w:t>接触的人员；</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（四）负责销售、采购、价格和商务政策制定、并购管理、销售网络管理以及联络行业协会等事项的部门</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中</w:t>
      </w:r>
      <w:r>
        <w:rPr>
          <w:rFonts w:ascii="Times New Roman" w:hAnsi="Times New Roman" w:eastAsia="仿宋_GB2312" w:cs="宋体"/>
          <w:color w:val="000000" w:themeColor="text1"/>
          <w:kern w:val="0"/>
          <w:sz w:val="32"/>
          <w:szCs w:val="32"/>
          <w:highlight w:val="none"/>
          <w14:textFill>
            <w14:solidFill>
              <w14:schemeClr w14:val="tx1"/>
            </w14:solidFill>
          </w14:textFill>
        </w:rPr>
        <w:t>知晓</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竞争性</w:t>
      </w:r>
      <w:r>
        <w:rPr>
          <w:rFonts w:ascii="Times New Roman" w:hAnsi="Times New Roman" w:eastAsia="仿宋_GB2312" w:cs="宋体"/>
          <w:color w:val="000000" w:themeColor="text1"/>
          <w:kern w:val="0"/>
          <w:sz w:val="32"/>
          <w:szCs w:val="32"/>
          <w:highlight w:val="none"/>
          <w14:textFill>
            <w14:solidFill>
              <w14:schemeClr w14:val="tx1"/>
            </w14:solidFill>
          </w14:textFill>
        </w:rPr>
        <w:t>敏感信息的人员；</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（五）曾</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为</w:t>
      </w:r>
      <w:r>
        <w:rPr>
          <w:rFonts w:ascii="Times New Roman" w:hAnsi="Times New Roman" w:eastAsia="仿宋_GB2312" w:cs="宋体"/>
          <w:color w:val="000000" w:themeColor="text1"/>
          <w:kern w:val="0"/>
          <w:sz w:val="32"/>
          <w:szCs w:val="32"/>
          <w:highlight w:val="none"/>
          <w14:textFill>
            <w14:solidFill>
              <w14:schemeClr w14:val="tx1"/>
            </w14:solidFill>
          </w14:textFill>
        </w:rPr>
        <w:t>竞争</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性平台经营者</w:t>
      </w:r>
      <w:r>
        <w:rPr>
          <w:rFonts w:ascii="Times New Roman" w:hAnsi="Times New Roman" w:eastAsia="仿宋_GB2312" w:cs="宋体"/>
          <w:color w:val="000000" w:themeColor="text1"/>
          <w:kern w:val="0"/>
          <w:sz w:val="32"/>
          <w:szCs w:val="32"/>
          <w:highlight w:val="none"/>
          <w14:textFill>
            <w14:solidFill>
              <w14:schemeClr w14:val="tx1"/>
            </w14:solidFill>
          </w14:textFill>
        </w:rPr>
        <w:t>工作</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可能</w:t>
      </w:r>
      <w:r>
        <w:rPr>
          <w:rFonts w:ascii="Times New Roman" w:hAnsi="Times New Roman" w:eastAsia="仿宋_GB2312" w:cs="宋体"/>
          <w:color w:val="000000" w:themeColor="text1"/>
          <w:kern w:val="0"/>
          <w:sz w:val="32"/>
          <w:szCs w:val="32"/>
          <w:highlight w:val="none"/>
          <w14:textFill>
            <w14:solidFill>
              <w14:schemeClr w14:val="tx1"/>
            </w14:solidFill>
          </w14:textFill>
        </w:rPr>
        <w:t>知晓</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其竞争性</w:t>
      </w:r>
      <w:r>
        <w:rPr>
          <w:rFonts w:ascii="Times New Roman" w:hAnsi="Times New Roman" w:eastAsia="仿宋_GB2312" w:cs="宋体"/>
          <w:color w:val="000000" w:themeColor="text1"/>
          <w:kern w:val="0"/>
          <w:sz w:val="32"/>
          <w:szCs w:val="32"/>
          <w:highlight w:val="none"/>
          <w14:textFill>
            <w14:solidFill>
              <w14:schemeClr w14:val="tx1"/>
            </w14:solidFill>
          </w14:textFill>
        </w:rPr>
        <w:t>敏感信息的人员</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（六）</w:t>
      </w:r>
      <w:r>
        <w:rPr>
          <w:rFonts w:ascii="Times New Roman" w:hAnsi="Times New Roman" w:eastAsia="仿宋_GB2312" w:cs="宋体"/>
          <w:color w:val="000000" w:themeColor="text1"/>
          <w:kern w:val="0"/>
          <w:sz w:val="32"/>
          <w:szCs w:val="32"/>
          <w:highlight w:val="none"/>
          <w14:textFill>
            <w14:solidFill>
              <w14:schemeClr w14:val="tx1"/>
            </w14:solidFill>
          </w14:textFill>
        </w:rPr>
        <w:t>负责企业并购项目的人员；</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七</w:t>
      </w:r>
      <w:r>
        <w:rPr>
          <w:rFonts w:ascii="Times New Roman" w:hAnsi="Times New Roman" w:eastAsia="仿宋_GB2312" w:cs="宋体"/>
          <w:color w:val="000000" w:themeColor="text1"/>
          <w:kern w:val="0"/>
          <w:sz w:val="32"/>
          <w:szCs w:val="32"/>
          <w:highlight w:val="none"/>
          <w14:textFill>
            <w14:solidFill>
              <w14:schemeClr w14:val="tx1"/>
            </w14:solidFill>
          </w14:textFill>
        </w:rPr>
        <w:t>）其他反垄断合规高风险人员。</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88" w:name="_Toc862656322"/>
      <w:bookmarkStart w:id="89" w:name="_Toc282290500"/>
      <w:bookmarkStart w:id="90" w:name="_Toc2124691987"/>
      <w:bookmarkStart w:id="91" w:name="_Toc841007529"/>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第二十三条  事前</w:t>
      </w:r>
      <w:bookmarkEnd w:id="88"/>
      <w:bookmarkEnd w:id="89"/>
      <w:bookmarkEnd w:id="90"/>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风险防控</w:t>
      </w:r>
      <w:bookmarkEnd w:id="91"/>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可以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在制定</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规则</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设计算法</w:t>
      </w:r>
      <w:r>
        <w:rPr>
          <w:rFonts w:ascii="Times New Roman" w:hAnsi="Times New Roman" w:eastAsia="仿宋_GB2312" w:cs="宋体"/>
          <w:color w:val="000000" w:themeColor="text1"/>
          <w:kern w:val="0"/>
          <w:sz w:val="32"/>
          <w:szCs w:val="32"/>
          <w:highlight w:val="none"/>
          <w14:textFill>
            <w14:solidFill>
              <w14:schemeClr w14:val="tx1"/>
            </w14:solidFill>
          </w14:textFill>
        </w:rPr>
        <w:t>、签订协议、</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商业洽谈、</w:t>
      </w:r>
      <w:r>
        <w:rPr>
          <w:rFonts w:ascii="Times New Roman" w:hAnsi="Times New Roman" w:eastAsia="仿宋_GB2312" w:cs="宋体"/>
          <w:color w:val="000000" w:themeColor="text1"/>
          <w:kern w:val="0"/>
          <w:sz w:val="32"/>
          <w:szCs w:val="32"/>
          <w:highlight w:val="none"/>
          <w14:textFill>
            <w14:solidFill>
              <w14:schemeClr w14:val="tx1"/>
            </w14:solidFill>
          </w14:textFill>
        </w:rPr>
        <w:t>投资并购、</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调整业务模式、</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组织营销活动</w:t>
      </w:r>
      <w:r>
        <w:rPr>
          <w:rFonts w:ascii="Times New Roman" w:hAnsi="Times New Roman" w:eastAsia="仿宋_GB2312" w:cs="宋体"/>
          <w:color w:val="000000" w:themeColor="text1"/>
          <w:kern w:val="0"/>
          <w:sz w:val="32"/>
          <w:szCs w:val="32"/>
          <w:highlight w:val="none"/>
          <w14:textFill>
            <w14:solidFill>
              <w14:schemeClr w14:val="tx1"/>
            </w14:solidFill>
          </w14:textFill>
        </w:rPr>
        <w:t>等重</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要</w:t>
      </w:r>
      <w:r>
        <w:rPr>
          <w:rFonts w:ascii="Times New Roman" w:hAnsi="Times New Roman" w:eastAsia="仿宋_GB2312" w:cs="宋体"/>
          <w:color w:val="000000" w:themeColor="text1"/>
          <w:kern w:val="0"/>
          <w:sz w:val="32"/>
          <w:szCs w:val="32"/>
          <w:highlight w:val="none"/>
          <w14:textFill>
            <w14:solidFill>
              <w14:schemeClr w14:val="tx1"/>
            </w14:solidFill>
          </w14:textFill>
        </w:rPr>
        <w:t>事项</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前，对有关事项</w:t>
      </w:r>
      <w:r>
        <w:rPr>
          <w:rFonts w:ascii="Times New Roman" w:hAnsi="Times New Roman" w:eastAsia="仿宋_GB2312" w:cs="宋体"/>
          <w:color w:val="000000" w:themeColor="text1"/>
          <w:kern w:val="0"/>
          <w:sz w:val="32"/>
          <w:szCs w:val="32"/>
          <w:highlight w:val="none"/>
          <w14:textFill>
            <w14:solidFill>
              <w14:schemeClr w14:val="tx1"/>
            </w14:solidFill>
          </w14:textFill>
        </w:rPr>
        <w:t>进行</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反垄断风险识别评估</w:t>
      </w:r>
      <w:r>
        <w:rPr>
          <w:rFonts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并依据本指引第二十二条进行风险提醒</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92" w:name="_Toc788923662"/>
      <w:bookmarkStart w:id="93" w:name="_Toc1213440965"/>
      <w:bookmarkStart w:id="94" w:name="_Toc31982897"/>
      <w:bookmarkStart w:id="95" w:name="_Toc1615283180"/>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第二十四条  事中</w:t>
      </w:r>
      <w:bookmarkEnd w:id="92"/>
      <w:bookmarkEnd w:id="93"/>
      <w:bookmarkEnd w:id="94"/>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风险防控</w:t>
      </w:r>
      <w:bookmarkEnd w:id="95"/>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平台经营者在</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经营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过程中</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要根据法律法规、行业情况、</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市场结构、业务布局</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等发生的变化，</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及时更新风险评估指标体系，重新评估反垄断合规风险，提出关于平台经营者风险防控工作的合规建议</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96" w:name="_Toc1402704665"/>
      <w:bookmarkStart w:id="97" w:name="_Toc1463042681"/>
      <w:bookmarkStart w:id="98" w:name="_Toc1327104993"/>
      <w:bookmarkStart w:id="99" w:name="_Toc162142877"/>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第二十五条  事后</w:t>
      </w:r>
      <w:bookmarkEnd w:id="96"/>
      <w:bookmarkEnd w:id="97"/>
      <w:bookmarkEnd w:id="98"/>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风险防控</w:t>
      </w:r>
      <w:bookmarkEnd w:id="99"/>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平台经营者可以在营销活动、投资交易、商贸合作等完成结束后对</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反垄断合规风险</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进行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复盘，提出</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关于加强和改进自身风险防控工作的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反馈意见</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，防范化解反垄断合规风险</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00" w:name="_Toc876510145"/>
      <w:bookmarkStart w:id="101" w:name="_Toc438925061"/>
      <w:bookmarkStart w:id="102" w:name="_Toc701533383"/>
      <w:bookmarkStart w:id="103" w:name="_Toc919909212"/>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第二十六条  平台规则审查</w:t>
      </w:r>
      <w:bookmarkEnd w:id="100"/>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可以</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重</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点</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对账户管理规则、终端用户政策、平台内经营者协议和管理办法、第三方服务商合作协议、流量分配规则、促销活动政策等平台规则进行全量审查，避免发生</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反垄断合规风险</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04" w:name="_Toc1567155816"/>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 xml:space="preserve">第二十七条  </w:t>
      </w:r>
      <w:bookmarkEnd w:id="101"/>
      <w:bookmarkEnd w:id="102"/>
      <w:bookmarkEnd w:id="103"/>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算法筛查</w:t>
      </w:r>
      <w:bookmarkEnd w:id="104"/>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可以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对</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互联网</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平台内使用的各类</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计价</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算法</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推荐系统、排序逻辑、广告投放策略等核心算法</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模型</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进行</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定向筛查和</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动态监测</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重点</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关注</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是否存在歧视性设计、不公平交易导向、</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价格过度调整、统一定价推送</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等</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问题，避免发生</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反垄断合规</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风险。</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鼓励平台经营者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通过技术手段与人工复核相结合的方式，确保算法逻辑透明可解释，避免算法黑箱</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破坏市场竞争秩序、</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损害</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消费者</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利益和社会公共利益</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鼓励</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建立算法迭代纠偏机制，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发现风险后及时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下线</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调整相关算法</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，并留存完整审计记录</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05" w:name="_Toc468098923"/>
      <w:bookmarkStart w:id="106" w:name="_Toc1724198717"/>
      <w:bookmarkStart w:id="107" w:name="_Toc1533184082"/>
      <w:bookmarkStart w:id="108" w:name="_Toc1096950638"/>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第二十八条  配合调查</w:t>
      </w:r>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ascii="Times New Roman" w:hAnsi="Times New Roman" w:eastAsia="仿宋_GB2312" w:cs="宋体"/>
          <w:color w:val="000000" w:themeColor="text1"/>
          <w:kern w:val="0"/>
          <w:sz w:val="32"/>
          <w:szCs w:val="32"/>
          <w:highlight w:val="none"/>
          <w14:textFill>
            <w14:solidFill>
              <w14:schemeClr w14:val="tx1"/>
            </w14:solidFill>
          </w14:textFill>
        </w:rPr>
        <w:t>及</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其</w:t>
      </w:r>
      <w:r>
        <w:rPr>
          <w:rFonts w:ascii="Times New Roman" w:hAnsi="Times New Roman" w:eastAsia="仿宋_GB2312" w:cs="宋体"/>
          <w:color w:val="000000" w:themeColor="text1"/>
          <w:kern w:val="0"/>
          <w:sz w:val="32"/>
          <w:szCs w:val="32"/>
          <w:highlight w:val="none"/>
          <w14:textFill>
            <w14:solidFill>
              <w14:schemeClr w14:val="tx1"/>
            </w14:solidFill>
          </w14:textFill>
        </w:rPr>
        <w:t>员工</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要</w:t>
      </w:r>
      <w:r>
        <w:rPr>
          <w:rFonts w:ascii="Times New Roman" w:hAnsi="Times New Roman" w:eastAsia="仿宋_GB2312" w:cs="宋体"/>
          <w:color w:val="000000" w:themeColor="text1"/>
          <w:kern w:val="0"/>
          <w:sz w:val="32"/>
          <w:szCs w:val="32"/>
          <w:highlight w:val="none"/>
          <w14:textFill>
            <w14:solidFill>
              <w14:schemeClr w14:val="tx1"/>
            </w14:solidFill>
          </w14:textFill>
        </w:rPr>
        <w:t>配合反垄断执法机构的调查，如实提供反垄断执法机构要求提交的证据材料，避免以下拒绝或者阻碍调查的行为：</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（一）拒绝、阻碍执法人员进入经营场所；</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（二）拒绝提供相关文件资料、信息或者其获取权限；</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（三）拒绝回答问题；</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（四）隐匿、销毁、转移证据；</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（五）提供误导性信息或者虚假信息；</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ascii="Times New Roman" w:hAnsi="Times New Roman" w:eastAsia="仿宋_GB2312" w:cs="宋体"/>
          <w:color w:val="000000" w:themeColor="text1"/>
          <w:kern w:val="0"/>
          <w:sz w:val="32"/>
          <w:szCs w:val="32"/>
          <w:highlight w:val="none"/>
          <w14:textFill>
            <w14:solidFill>
              <w14:schemeClr w14:val="tx1"/>
            </w14:solidFill>
          </w14:textFill>
        </w:rPr>
        <w:t>（六）其他拒绝、阻碍反垄断调查的行为。</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09" w:name="_Toc1161068157"/>
      <w:bookmarkStart w:id="110" w:name="_Toc946791537"/>
      <w:bookmarkStart w:id="111" w:name="_Toc998865721"/>
      <w:bookmarkStart w:id="112" w:name="_Toc502954716"/>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第二十九条  合规整改</w:t>
      </w:r>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bookmarkStart w:id="113" w:name="_Toc1999460694"/>
      <w:bookmarkStart w:id="114" w:name="_Toc1874317810"/>
      <w:bookmarkStart w:id="115" w:name="_Toc1337485050"/>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平台经营者按照反垄断“三书一函”要求进行整改的，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要注意</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及时提交整改方案，有序推进整改工作，按时提交整改报告。平台经营者可以采取适当方式对整改效果进行评估，持续完善合规管理制度、改进合规管理体系。</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平台经营者可以主动向社会公开整改措施和成效，接受监督。</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第三十条</w:t>
      </w:r>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合规激励</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平台经营者要建立完善的反垄断合规管理制度，并真实、有效实施。平台经营者遇到反垄断调查时，可以依据《经营者反垄断合规指南》规定，向反垄断执法机构申请合规激励。反垄断执法机构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可以依法</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酌情考虑平台经营者</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反垄断合规</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制度的建设实施情况。</w:t>
      </w:r>
    </w:p>
    <w:bookmarkEnd w:id="113"/>
    <w:bookmarkEnd w:id="114"/>
    <w:bookmarkEnd w:id="115"/>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14:textFill>
            <w14:solidFill>
              <w14:schemeClr w14:val="tx1"/>
            </w14:solidFill>
          </w14:textFill>
        </w:rPr>
      </w:pPr>
      <w:bookmarkStart w:id="116" w:name="_Toc61754304"/>
      <w:bookmarkStart w:id="117" w:name="_Toc1656914507"/>
      <w:bookmarkStart w:id="118" w:name="_Toc132589663"/>
      <w:bookmarkStart w:id="119" w:name="_Toc401658400"/>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kern w:val="0"/>
          <w:sz w:val="32"/>
          <w:szCs w:val="32"/>
          <w:highlight w:val="none"/>
          <w14:textFill>
            <w14:solidFill>
              <w14:schemeClr w14:val="tx1"/>
            </w14:solidFill>
          </w14:textFill>
        </w:rPr>
        <w:t>第四</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章</w:t>
      </w:r>
      <w:r>
        <w:rPr>
          <w:rFonts w:hint="eastAsia" w:ascii="Times New Roman" w:hAnsi="Times New Roman" w:eastAsia="黑体" w:cs="黑体"/>
          <w:color w:val="000000" w:themeColor="text1"/>
          <w:kern w:val="0"/>
          <w:sz w:val="32"/>
          <w:szCs w:val="32"/>
          <w:highlight w:val="none"/>
          <w14:textFill>
            <w14:solidFill>
              <w14:schemeClr w14:val="tx1"/>
            </w14:solidFill>
          </w14:textFill>
        </w:rPr>
        <w:t xml:space="preserve">  合规保障</w:t>
      </w:r>
      <w:bookmarkEnd w:id="116"/>
      <w:bookmarkEnd w:id="117"/>
      <w:bookmarkEnd w:id="118"/>
      <w:r>
        <w:rPr>
          <w:rFonts w:hint="eastAsia" w:ascii="Times New Roman" w:hAnsi="Times New Roman" w:eastAsia="黑体" w:cs="黑体"/>
          <w:color w:val="000000" w:themeColor="text1"/>
          <w:kern w:val="0"/>
          <w:sz w:val="32"/>
          <w:szCs w:val="32"/>
          <w:highlight w:val="none"/>
          <w:lang w:val="en-US" w:eastAsia="zh-CN"/>
          <w14:textFill>
            <w14:solidFill>
              <w14:schemeClr w14:val="tx1"/>
            </w14:solidFill>
          </w14:textFill>
        </w:rPr>
        <w:t>机制</w:t>
      </w:r>
      <w:bookmarkEnd w:id="119"/>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20" w:name="_Toc2106737081"/>
      <w:bookmarkStart w:id="121" w:name="_Toc1817319737"/>
      <w:bookmarkStart w:id="122" w:name="_Toc1472211641"/>
      <w:bookmarkStart w:id="123" w:name="_Toc1817548291"/>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第三十一条  合规管理</w:t>
      </w:r>
      <w:bookmarkEnd w:id="120"/>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机构</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sz w:val="32"/>
          <w:szCs w:val="32"/>
          <w:highlight w:val="none"/>
        </w:rPr>
        <w:t>反垄断合规管理</w:t>
      </w:r>
      <w:r>
        <w:rPr>
          <w:rFonts w:hint="eastAsia" w:ascii="Times New Roman" w:hAnsi="Times New Roman" w:eastAsia="仿宋_GB2312" w:cs="仿宋_GB2312"/>
          <w:sz w:val="32"/>
          <w:szCs w:val="32"/>
          <w:highlight w:val="none"/>
          <w:lang w:val="en-US" w:eastAsia="zh-CN"/>
        </w:rPr>
        <w:t>机构</w:t>
      </w:r>
      <w:r>
        <w:rPr>
          <w:rFonts w:hint="eastAsia" w:ascii="Times New Roman" w:hAnsi="Times New Roman" w:eastAsia="仿宋_GB2312" w:cs="仿宋_GB2312"/>
          <w:sz w:val="32"/>
          <w:szCs w:val="32"/>
          <w:highlight w:val="none"/>
        </w:rPr>
        <w:t>负责统筹、组织和推进反垄断合规管理工作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可以专设，也可以由有关部门承担相应职责</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。鼓励平台经营者为合规管理机构独立履职提供必要的资源，保障反垄断合规管理有效实施。</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平台经营者总部可以要求分公司、控股子公司等配合开展风险排查、举报调查、监督检查和问题整改等反垄断合规管理工作。</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default"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24" w:name="_Toc609731013"/>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第三十二条  合规汇报</w:t>
      </w:r>
      <w:bookmarkEnd w:id="124"/>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鼓励</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经营者建立反垄断合规汇报</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机制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，由反垄断合规管理负责人</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听取合规管理牵头部门报告合规管理落实情况和合规风险</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并</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定期向</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平台经营者主要负责人</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汇报反垄断合规管理情况，及时报告反垄断合规</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重大</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风险。</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合规管理牵头部门可以组织业务以及职能部门汇报本部门的反垄断合规工作情况和合规风险。</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default" w:ascii="Times New Roman" w:hAnsi="Times New Roman" w:eastAsia="仿宋_GB2312" w:cs="宋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鼓励平台经营者总部定期听取分公司、控股子公司等合规管理牵头部门汇报反垄断合规管理落实情况和重大风险，收集反垄断合规管理工作所需的资料和信息，及时掌握合规风险事项。</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25" w:name="_Toc1014685339"/>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第三十三条  合规培训</w:t>
      </w:r>
      <w:bookmarkEnd w:id="121"/>
      <w:bookmarkEnd w:id="122"/>
      <w:bookmarkEnd w:id="123"/>
      <w:bookmarkEnd w:id="125"/>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鼓励平台经营者投入</w:t>
      </w:r>
      <w:r>
        <w:rPr>
          <w:rFonts w:ascii="Times New Roman" w:hAnsi="Times New Roman" w:eastAsia="仿宋_GB2312" w:cs="宋体"/>
          <w:color w:val="000000" w:themeColor="text1"/>
          <w:kern w:val="0"/>
          <w:sz w:val="32"/>
          <w:szCs w:val="32"/>
          <w:highlight w:val="none"/>
          <w14:textFill>
            <w14:solidFill>
              <w14:schemeClr w14:val="tx1"/>
            </w14:solidFill>
          </w14:textFill>
        </w:rPr>
        <w:t>有效资源，建立反垄断合规培训机制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将反垄断合规培训纳入员工培训计划和常态化合规培训机制</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结合不同岗位的合规管理要求针对性地开展培训</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鼓励</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w:t>
      </w:r>
      <w:r>
        <w:rPr>
          <w:rFonts w:ascii="Times New Roman" w:hAnsi="Times New Roman" w:eastAsia="仿宋_GB2312" w:cs="宋体"/>
          <w:color w:val="000000" w:themeColor="text1"/>
          <w:kern w:val="0"/>
          <w:sz w:val="32"/>
          <w:szCs w:val="32"/>
          <w:highlight w:val="none"/>
          <w14:textFill>
            <w14:solidFill>
              <w14:schemeClr w14:val="tx1"/>
            </w14:solidFill>
          </w14:textFill>
        </w:rPr>
        <w:t>建立合规培训台账，结合反垄断法相关规定及时更新培训内容，定期评估培训效果</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26" w:name="_Toc924410626"/>
      <w:bookmarkStart w:id="127" w:name="_Toc1337810367"/>
      <w:bookmarkStart w:id="128" w:name="_Toc1939205007"/>
      <w:bookmarkStart w:id="129" w:name="_Toc2145574258"/>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第三十四条  合规考核</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鼓励平台经营者</w:t>
      </w:r>
      <w:r>
        <w:rPr>
          <w:rFonts w:ascii="Times New Roman" w:hAnsi="Times New Roman" w:eastAsia="仿宋_GB2312" w:cs="宋体"/>
          <w:color w:val="000000" w:themeColor="text1"/>
          <w:kern w:val="0"/>
          <w:sz w:val="32"/>
          <w:szCs w:val="32"/>
          <w:highlight w:val="none"/>
          <w14:textFill>
            <w14:solidFill>
              <w14:schemeClr w14:val="tx1"/>
            </w14:solidFill>
          </w14:textFill>
        </w:rPr>
        <w:t>建立健全反垄断合规</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人事</w:t>
      </w:r>
      <w:r>
        <w:rPr>
          <w:rFonts w:ascii="Times New Roman" w:hAnsi="Times New Roman" w:eastAsia="仿宋_GB2312" w:cs="宋体"/>
          <w:color w:val="000000" w:themeColor="text1"/>
          <w:kern w:val="0"/>
          <w:sz w:val="32"/>
          <w:szCs w:val="32"/>
          <w:highlight w:val="none"/>
          <w14:textFill>
            <w14:solidFill>
              <w14:schemeClr w14:val="tx1"/>
            </w14:solidFill>
          </w14:textFill>
        </w:rPr>
        <w:t>考核</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以</w:t>
      </w:r>
      <w:r>
        <w:rPr>
          <w:rFonts w:ascii="Times New Roman" w:hAnsi="Times New Roman" w:eastAsia="仿宋_GB2312" w:cs="宋体"/>
          <w:color w:val="000000" w:themeColor="text1"/>
          <w:kern w:val="0"/>
          <w:sz w:val="32"/>
          <w:szCs w:val="32"/>
          <w:highlight w:val="none"/>
          <w14:textFill>
            <w14:solidFill>
              <w14:schemeClr w14:val="tx1"/>
            </w14:solidFill>
          </w14:textFill>
        </w:rPr>
        <w:t>及奖惩机制，将考核结果作为员工及其所属部门绩效考核的重要依据，激励和督促员工自觉遵守反垄断合规管理要求</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对于</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考核</w:t>
      </w:r>
      <w:r>
        <w:rPr>
          <w:rFonts w:ascii="Times New Roman" w:hAnsi="Times New Roman" w:eastAsia="仿宋_GB2312" w:cs="宋体"/>
          <w:color w:val="000000" w:themeColor="text1"/>
          <w:kern w:val="0"/>
          <w:sz w:val="32"/>
          <w:szCs w:val="32"/>
          <w:highlight w:val="none"/>
          <w14:textFill>
            <w14:solidFill>
              <w14:schemeClr w14:val="tx1"/>
            </w14:solidFill>
          </w14:textFill>
        </w:rPr>
        <w:t>结果不合格</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、涉及投诉举报</w:t>
      </w:r>
      <w:r>
        <w:rPr>
          <w:rFonts w:ascii="Times New Roman" w:hAnsi="Times New Roman" w:eastAsia="仿宋_GB2312" w:cs="宋体"/>
          <w:color w:val="000000" w:themeColor="text1"/>
          <w:kern w:val="0"/>
          <w:sz w:val="32"/>
          <w:szCs w:val="32"/>
          <w:highlight w:val="none"/>
          <w14:textFill>
            <w14:solidFill>
              <w14:schemeClr w14:val="tx1"/>
            </w14:solidFill>
          </w14:textFill>
        </w:rPr>
        <w:t>的人员或</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者</w:t>
      </w:r>
      <w:r>
        <w:rPr>
          <w:rFonts w:ascii="Times New Roman" w:hAnsi="Times New Roman" w:eastAsia="仿宋_GB2312" w:cs="宋体"/>
          <w:color w:val="000000" w:themeColor="text1"/>
          <w:kern w:val="0"/>
          <w:sz w:val="32"/>
          <w:szCs w:val="32"/>
          <w:highlight w:val="none"/>
          <w14:textFill>
            <w14:solidFill>
              <w14:schemeClr w14:val="tx1"/>
            </w14:solidFill>
          </w14:textFill>
        </w:rPr>
        <w:t>部门，</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采取相应纠正</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整改</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措施</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30" w:name="_Toc214425907"/>
      <w:bookmarkStart w:id="131" w:name="_Toc1164561047"/>
      <w:bookmarkStart w:id="132" w:name="_Toc1338664603"/>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平台经营者总部可以对分公司、控股子公司等反垄断合规管理工作进行考评和指导。</w:t>
      </w:r>
      <w:bookmarkStart w:id="133" w:name="_Toc9454380"/>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第三十五条 合规监督</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仿宋_GB2312" w:cs="宋体"/>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b w:val="0"/>
          <w:bCs w:val="0"/>
          <w:color w:val="000000" w:themeColor="text1"/>
          <w:kern w:val="0"/>
          <w:sz w:val="32"/>
          <w:szCs w:val="32"/>
          <w:highlight w:val="none"/>
          <w:lang w:val="en-US" w:eastAsia="zh-CN"/>
          <w14:textFill>
            <w14:solidFill>
              <w14:schemeClr w14:val="tx1"/>
            </w14:solidFill>
          </w14:textFill>
        </w:rPr>
        <w:t>鼓励平台经营者建立反垄断合规举报处理和反馈机制，积极响应员工、平台内经营者、消费者、从业人员等的反垄断合规投诉和举报，并组织开展核查。</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outlineLvl w:val="9"/>
        <w:rPr>
          <w:rFonts w:hint="eastAsia" w:ascii="Times New Roman" w:hAnsi="Times New Roman" w:eastAsia="仿宋_GB2312" w:cs="宋体"/>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b w:val="0"/>
          <w:bCs w:val="0"/>
          <w:color w:val="000000" w:themeColor="text1"/>
          <w:kern w:val="0"/>
          <w:sz w:val="32"/>
          <w:szCs w:val="32"/>
          <w:highlight w:val="none"/>
          <w:lang w:val="en-US" w:eastAsia="zh-CN"/>
          <w14:textFill>
            <w14:solidFill>
              <w14:schemeClr w14:val="tx1"/>
            </w14:solidFill>
          </w14:textFill>
        </w:rPr>
        <w:t>鼓励平台经营者建立平台内经营者、消费者、从业人员等平台用户以及独立第三方等的外部评价机制，自觉接受社会监督，不断完善平台治理规则。</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第三十六条  合规管理信息化</w:t>
      </w:r>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鼓励平台经营者加强合规管理信息化建设，</w:t>
      </w:r>
      <w:r>
        <w:rPr>
          <w:rFonts w:ascii="Times New Roman" w:hAnsi="Times New Roman" w:eastAsia="仿宋_GB2312" w:cs="宋体"/>
          <w:color w:val="000000" w:themeColor="text1"/>
          <w:kern w:val="0"/>
          <w:sz w:val="32"/>
          <w:szCs w:val="32"/>
          <w:highlight w:val="none"/>
          <w14:textFill>
            <w14:solidFill>
              <w14:schemeClr w14:val="tx1"/>
            </w14:solidFill>
          </w14:textFill>
        </w:rPr>
        <w:t>将合规要求和风险防控机制嵌入业务</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信息化</w:t>
      </w:r>
      <w:r>
        <w:rPr>
          <w:rFonts w:ascii="Times New Roman" w:hAnsi="Times New Roman" w:eastAsia="仿宋_GB2312" w:cs="宋体"/>
          <w:color w:val="000000" w:themeColor="text1"/>
          <w:kern w:val="0"/>
          <w:sz w:val="32"/>
          <w:szCs w:val="32"/>
          <w:highlight w:val="none"/>
          <w14:textFill>
            <w14:solidFill>
              <w14:schemeClr w14:val="tx1"/>
            </w14:solidFill>
          </w14:textFill>
        </w:rPr>
        <w:t>流程，</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支持</w:t>
      </w:r>
      <w:r>
        <w:rPr>
          <w:rFonts w:hint="eastAsia" w:ascii="Times New Roman" w:hAnsi="Times New Roman" w:eastAsia="仿宋_GB2312" w:cs="仿宋_GB2312"/>
          <w:sz w:val="32"/>
          <w:szCs w:val="32"/>
          <w:highlight w:val="none"/>
        </w:rPr>
        <w:t>业务</w:t>
      </w:r>
      <w:r>
        <w:rPr>
          <w:rFonts w:hint="eastAsia" w:ascii="Times New Roman" w:hAnsi="Times New Roman" w:eastAsia="仿宋_GB2312" w:cs="仿宋_GB2312"/>
          <w:sz w:val="32"/>
          <w:szCs w:val="32"/>
          <w:highlight w:val="none"/>
          <w:lang w:eastAsia="zh-CN"/>
        </w:rPr>
        <w:t>以</w:t>
      </w:r>
      <w:r>
        <w:rPr>
          <w:rFonts w:hint="eastAsia" w:ascii="Times New Roman" w:hAnsi="Times New Roman" w:eastAsia="仿宋_GB2312" w:cs="仿宋_GB2312"/>
          <w:sz w:val="32"/>
          <w:szCs w:val="32"/>
          <w:highlight w:val="none"/>
        </w:rPr>
        <w:t>及职能部门</w:t>
      </w:r>
      <w:r>
        <w:rPr>
          <w:rFonts w:hint="eastAsia" w:ascii="Times New Roman" w:hAnsi="Times New Roman" w:eastAsia="仿宋_GB2312" w:cs="仿宋_GB2312"/>
          <w:sz w:val="32"/>
          <w:szCs w:val="32"/>
          <w:highlight w:val="none"/>
          <w:lang w:val="en-US" w:eastAsia="zh-CN"/>
        </w:rPr>
        <w:t>对</w:t>
      </w:r>
      <w:r>
        <w:rPr>
          <w:rFonts w:hint="eastAsia" w:ascii="Times New Roman" w:hAnsi="Times New Roman" w:eastAsia="仿宋_GB2312" w:cs="仿宋_GB2312"/>
          <w:sz w:val="32"/>
          <w:szCs w:val="32"/>
          <w:highlight w:val="none"/>
        </w:rPr>
        <w:t>本部门日常工作</w:t>
      </w:r>
      <w:r>
        <w:rPr>
          <w:rFonts w:hint="eastAsia" w:ascii="Times New Roman" w:hAnsi="Times New Roman" w:eastAsia="仿宋_GB2312" w:cs="仿宋_GB2312"/>
          <w:sz w:val="32"/>
          <w:szCs w:val="32"/>
          <w:highlight w:val="none"/>
          <w:lang w:val="en-US" w:eastAsia="zh-CN"/>
        </w:rPr>
        <w:t>开展信息化合规管理</w:t>
      </w:r>
      <w:r>
        <w:rPr>
          <w:rFonts w:hint="eastAsia" w:ascii="Times New Roman" w:hAnsi="Times New Roman" w:eastAsia="仿宋_GB2312" w:cs="宋体"/>
          <w:color w:val="000000" w:themeColor="text1"/>
          <w:kern w:val="0"/>
          <w:sz w:val="32"/>
          <w:szCs w:val="32"/>
          <w:highlight w:val="none"/>
          <w:lang w:val="en-US" w:eastAsia="zh-CN"/>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强化对经营管理行为合规情况的过程管控和运行分析</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r>
        <w:rPr>
          <w:rFonts w:ascii="Times New Roman" w:hAnsi="Times New Roman" w:eastAsia="仿宋_GB2312" w:cs="宋体"/>
          <w:color w:val="000000" w:themeColor="text1"/>
          <w:kern w:val="0"/>
          <w:sz w:val="32"/>
          <w:szCs w:val="32"/>
          <w:highlight w:val="none"/>
          <w14:textFill>
            <w14:solidFill>
              <w14:schemeClr w14:val="tx1"/>
            </w14:solidFill>
          </w14:textFill>
        </w:rPr>
        <w:t>记录和保存相关信息</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，提高合规工作效率</w:t>
      </w:r>
      <w:r>
        <w:rPr>
          <w:rFonts w:ascii="Times New Roman" w:hAnsi="Times New Roman"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hint="eastAsia" w:ascii="Times New Roman" w:hAnsi="Times New Roman" w:eastAsia="黑体" w:cs="黑体"/>
          <w:color w:val="000000" w:themeColor="text1"/>
          <w:kern w:val="0"/>
          <w:sz w:val="32"/>
          <w:szCs w:val="32"/>
          <w:highlight w:val="none"/>
          <w14:textFill>
            <w14:solidFill>
              <w14:schemeClr w14:val="tx1"/>
            </w14:solidFill>
          </w14:textFill>
        </w:rPr>
      </w:pPr>
      <w:bookmarkStart w:id="134" w:name="_Toc1710627154"/>
      <w:bookmarkStart w:id="135" w:name="_Toc1832171119"/>
      <w:bookmarkStart w:id="136" w:name="_Toc1446063823"/>
      <w:bookmarkStart w:id="137" w:name="_Toc1173982498"/>
    </w:p>
    <w:p>
      <w:pPr>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center"/>
        <w:textAlignment w:val="auto"/>
        <w:outlineLvl w:val="0"/>
        <w:rPr>
          <w:rFonts w:ascii="Times New Roman" w:hAnsi="Times New Roman" w:eastAsia="黑体" w:cs="黑体"/>
          <w:color w:val="000000" w:themeColor="text1"/>
          <w:kern w:val="0"/>
          <w:sz w:val="32"/>
          <w:szCs w:val="32"/>
          <w:highlight w:val="none"/>
          <w14:textFill>
            <w14:solidFill>
              <w14:schemeClr w14:val="tx1"/>
            </w14:solidFill>
          </w14:textFill>
        </w:rPr>
      </w:pPr>
      <w:r>
        <w:rPr>
          <w:rFonts w:hint="eastAsia" w:ascii="Times New Roman" w:hAnsi="Times New Roman" w:eastAsia="黑体" w:cs="黑体"/>
          <w:color w:val="000000" w:themeColor="text1"/>
          <w:kern w:val="0"/>
          <w:sz w:val="32"/>
          <w:szCs w:val="32"/>
          <w:highlight w:val="none"/>
          <w14:textFill>
            <w14:solidFill>
              <w14:schemeClr w14:val="tx1"/>
            </w14:solidFill>
          </w14:textFill>
        </w:rPr>
        <w:t>第</w:t>
      </w:r>
      <w:r>
        <w:rPr>
          <w:rFonts w:hint="eastAsia" w:ascii="Times New Roman" w:hAnsi="Times New Roman" w:eastAsia="黑体" w:cs="黑体"/>
          <w:color w:val="000000" w:themeColor="text1"/>
          <w:kern w:val="0"/>
          <w:sz w:val="32"/>
          <w:szCs w:val="32"/>
          <w:highlight w:val="none"/>
          <w:lang w:eastAsia="zh-CN"/>
          <w14:textFill>
            <w14:solidFill>
              <w14:schemeClr w14:val="tx1"/>
            </w14:solidFill>
          </w14:textFill>
        </w:rPr>
        <w:t>五</w:t>
      </w:r>
      <w:r>
        <w:rPr>
          <w:rFonts w:hint="eastAsia" w:ascii="Times New Roman" w:hAnsi="Times New Roman" w:eastAsia="黑体" w:cs="黑体"/>
          <w:color w:val="000000" w:themeColor="text1"/>
          <w:kern w:val="0"/>
          <w:sz w:val="32"/>
          <w:szCs w:val="32"/>
          <w:highlight w:val="none"/>
          <w14:textFill>
            <w14:solidFill>
              <w14:schemeClr w14:val="tx1"/>
            </w14:solidFill>
          </w14:textFill>
        </w:rPr>
        <w:t>章  附则</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38" w:name="_Toc51834436"/>
      <w:bookmarkStart w:id="139" w:name="_Toc308383068"/>
      <w:bookmarkStart w:id="140" w:name="_Toc316268123"/>
      <w:bookmarkStart w:id="141" w:name="_Toc1618942234"/>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第三十七条  指引的效力</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ascii="Times New Roman" w:hAnsi="Times New Roman" w:eastAsia="仿宋_GB2312" w:cs="宋体"/>
          <w:color w:val="000000" w:themeColor="text1"/>
          <w:kern w:val="0"/>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本指引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是关于互联网平台的专项反垄断合规指引，旨在</w:t>
      </w:r>
      <w:r>
        <w:rPr>
          <w:rFonts w:hint="eastAsia" w:ascii="Times New Roman" w:hAnsi="Times New Roman" w:eastAsia="仿宋_GB2312"/>
          <w:color w:val="000000" w:themeColor="text1"/>
          <w:sz w:val="32"/>
          <w:szCs w:val="32"/>
          <w:highlight w:val="none"/>
          <w14:textFill>
            <w14:solidFill>
              <w14:schemeClr w14:val="tx1"/>
            </w14:solidFill>
          </w14:textFill>
        </w:rPr>
        <w:t>对平台经营者反垄断合规提供一般性指引，不具有强制性。</w:t>
      </w:r>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平台经营者、有关行业协会</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可以参考</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本指引，根据反垄断法律法规规章指南等的规定，结合自身特点，建立健全反垄断合规制度，优化合规工作体系。</w:t>
      </w:r>
    </w:p>
    <w:p>
      <w:pPr>
        <w:keepNext w:val="0"/>
        <w:keepLines w:val="0"/>
        <w:pageBreakBefore w:val="0"/>
        <w:widowControl w:val="0"/>
        <w:kinsoku/>
        <w:wordWrap/>
        <w:overflowPunct/>
        <w:topLinePunct w:val="0"/>
        <w:autoSpaceDE/>
        <w:autoSpaceDN/>
        <w:bidi w:val="0"/>
        <w:adjustRightInd/>
        <w:snapToGrid/>
        <w:spacing w:after="0" w:line="550" w:lineRule="exact"/>
        <w:ind w:firstLine="630"/>
        <w:textAlignment w:val="auto"/>
        <w:outlineLvl w:val="1"/>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pPr>
      <w:bookmarkStart w:id="142" w:name="_Toc1918195235"/>
      <w:bookmarkStart w:id="143" w:name="_Toc1898512042"/>
      <w:bookmarkStart w:id="144" w:name="_Toc345369841"/>
      <w:bookmarkStart w:id="145" w:name="_Toc1516967194"/>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 xml:space="preserve">第三十八条  </w:t>
      </w:r>
      <w:bookmarkEnd w:id="142"/>
      <w:bookmarkEnd w:id="143"/>
      <w:bookmarkEnd w:id="144"/>
      <w:r>
        <w:rPr>
          <w:rFonts w:hint="eastAsia" w:ascii="Times New Roman" w:hAnsi="Times New Roman" w:eastAsia="黑体" w:cs="黑体"/>
          <w:b w:val="0"/>
          <w:bCs w:val="0"/>
          <w:color w:val="000000" w:themeColor="text1"/>
          <w:kern w:val="0"/>
          <w:sz w:val="32"/>
          <w:szCs w:val="32"/>
          <w:highlight w:val="none"/>
          <w:lang w:val="en-US" w:eastAsia="zh-CN"/>
          <w14:textFill>
            <w14:solidFill>
              <w14:schemeClr w14:val="tx1"/>
            </w14:solidFill>
          </w14:textFill>
        </w:rPr>
        <w:t>指引的解释</w:t>
      </w:r>
      <w:bookmarkEnd w:id="145"/>
    </w:p>
    <w:p>
      <w:pPr>
        <w:keepNext w:val="0"/>
        <w:keepLines w:val="0"/>
        <w:pageBreakBefore w:val="0"/>
        <w:widowControl w:val="0"/>
        <w:kinsoku/>
        <w:wordWrap/>
        <w:overflowPunct/>
        <w:topLinePunct w:val="0"/>
        <w:autoSpaceDE/>
        <w:autoSpaceDN/>
        <w:bidi w:val="0"/>
        <w:adjustRightInd/>
        <w:snapToGrid/>
        <w:spacing w:after="0" w:line="550" w:lineRule="exact"/>
        <w:ind w:firstLine="627"/>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本指引</w:t>
      </w:r>
      <w:r>
        <w:rPr>
          <w:rFonts w:hint="eastAsia" w:ascii="Times New Roman" w:hAnsi="Times New Roman" w:eastAsia="仿宋_GB2312" w:cs="宋体"/>
          <w:color w:val="000000" w:themeColor="text1"/>
          <w:kern w:val="0"/>
          <w:sz w:val="32"/>
          <w:szCs w:val="32"/>
          <w:highlight w:val="none"/>
          <w:lang w:eastAsia="zh-CN"/>
          <w14:textFill>
            <w14:solidFill>
              <w14:schemeClr w14:val="tx1"/>
            </w14:solidFill>
          </w14:textFill>
        </w:rPr>
        <w:t>由市场监管总局负责解释</w:t>
      </w:r>
      <w:r>
        <w:rPr>
          <w:rFonts w:hint="eastAsia" w:ascii="Times New Roman" w:hAnsi="Times New Roman" w:eastAsia="仿宋_GB2312" w:cs="宋体"/>
          <w:color w:val="000000" w:themeColor="text1"/>
          <w:kern w:val="0"/>
          <w:sz w:val="32"/>
          <w:szCs w:val="32"/>
          <w:highlight w:val="none"/>
          <w14:textFill>
            <w14:solidFill>
              <w14:schemeClr w14:val="tx1"/>
            </w14:solidFill>
          </w14:textFill>
        </w:rPr>
        <w:t>。</w:t>
      </w:r>
    </w:p>
    <w:sectPr>
      <w:headerReference r:id="rId5" w:type="default"/>
      <w:footerReference r:id="rId6" w:type="default"/>
      <w:footerReference r:id="rId7" w:type="even"/>
      <w:pgSz w:w="11906" w:h="16838"/>
      <w:pgMar w:top="1984" w:right="1474" w:bottom="1644" w:left="1474" w:header="851" w:footer="1191" w:gutter="0"/>
      <w:pgNumType w:fmt="decimal"/>
      <w:cols w:space="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8"/>
      </w:pPr>
      <w:r>
        <w:separator/>
      </w:r>
    </w:p>
  </w:endnote>
  <w:endnote w:type="continuationSeparator" w:id="1">
    <w:p>
      <w:pPr>
        <w:spacing w:line="240" w:lineRule="auto"/>
        <w:ind w:firstLine="4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Times New Roman"/>
    <w:panose1 w:val="00000000000000000000"/>
    <w:charset w:val="86"/>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SimSun-ExtB">
    <w:altName w:val="Noto Serif CJK JP SemiBold"/>
    <w:panose1 w:val="02010609060101010101"/>
    <w:charset w:val="86"/>
    <w:family w:val="modern"/>
    <w:pitch w:val="default"/>
    <w:sig w:usb0="00000000" w:usb1="00000000" w:usb2="00000000" w:usb3="00000000" w:csb0="00040001" w:csb1="00000000"/>
  </w:font>
  <w:font w:name="Noto Serif CJK JP SemiBold">
    <w:panose1 w:val="02020600000000000000"/>
    <w:charset w:val="86"/>
    <w:family w:val="auto"/>
    <w:pitch w:val="default"/>
    <w:sig w:usb0="3000008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adjustRightInd w:val="0"/>
      <w:spacing w:line="260" w:lineRule="exact"/>
      <w:ind w:left="315" w:leftChars="150" w:right="315" w:rightChars="150"/>
      <w:jc w:val="left"/>
      <w:rPr>
        <w:rFonts w:hint="eastAsia" w:asciiTheme="minorEastAsia" w:hAnsiTheme="minorEastAsia" w:cs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1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adjustRightInd w:val="0"/>
                            <w:spacing w:line="260" w:lineRule="exact"/>
                            <w:ind w:left="315" w:leftChars="150" w:right="315" w:rightChars="150"/>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PWLh2Q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15"/>
                      <w:adjustRightInd w:val="0"/>
                      <w:spacing w:line="260" w:lineRule="exact"/>
                      <w:ind w:left="315" w:leftChars="150" w:right="315" w:rightChars="150"/>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adjustRightInd w:val="0"/>
      <w:spacing w:line="260" w:lineRule="exact"/>
      <w:ind w:left="315" w:leftChars="150" w:right="315" w:rightChars="150"/>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adjustRightInd w:val="0"/>
                            <w:spacing w:line="260" w:lineRule="exact"/>
                            <w:ind w:left="315" w:leftChars="150" w:right="315" w:rightChars="150"/>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5"/>
                      <w:adjustRightInd w:val="0"/>
                      <w:spacing w:line="260" w:lineRule="exact"/>
                      <w:ind w:left="315" w:leftChars="150" w:right="315" w:rightChars="150"/>
                      <w:jc w:val="left"/>
                    </w:pP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08"/>
      </w:pPr>
      <w:r>
        <w:separator/>
      </w:r>
    </w:p>
  </w:footnote>
  <w:footnote w:type="continuationSeparator" w:id="1">
    <w:p>
      <w:pPr>
        <w:spacing w:before="0" w:after="0" w:line="278" w:lineRule="auto"/>
        <w:ind w:firstLine="40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0" w:firstLineChars="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2"/>
  <w:drawingGridVerticalSpacing w:val="14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lM2YyNzM3NWFlMDkxNjI5NjFkNDA3NjBmY2UwODYifQ=="/>
  </w:docVars>
  <w:rsids>
    <w:rsidRoot w:val="00ED4071"/>
    <w:rsid w:val="00000E37"/>
    <w:rsid w:val="00007C71"/>
    <w:rsid w:val="00007D1D"/>
    <w:rsid w:val="00013464"/>
    <w:rsid w:val="00015332"/>
    <w:rsid w:val="000166D8"/>
    <w:rsid w:val="00017490"/>
    <w:rsid w:val="000202B7"/>
    <w:rsid w:val="00020C0E"/>
    <w:rsid w:val="00021E81"/>
    <w:rsid w:val="00025EAE"/>
    <w:rsid w:val="00027114"/>
    <w:rsid w:val="000321F8"/>
    <w:rsid w:val="00033FFC"/>
    <w:rsid w:val="0003672D"/>
    <w:rsid w:val="00037857"/>
    <w:rsid w:val="0004069B"/>
    <w:rsid w:val="0004079A"/>
    <w:rsid w:val="000442A9"/>
    <w:rsid w:val="00051401"/>
    <w:rsid w:val="00054FAA"/>
    <w:rsid w:val="00056DC6"/>
    <w:rsid w:val="00057397"/>
    <w:rsid w:val="000616D5"/>
    <w:rsid w:val="00061F6B"/>
    <w:rsid w:val="0006210C"/>
    <w:rsid w:val="00063E7C"/>
    <w:rsid w:val="000646B1"/>
    <w:rsid w:val="00065091"/>
    <w:rsid w:val="00071331"/>
    <w:rsid w:val="00071AA6"/>
    <w:rsid w:val="00071AFF"/>
    <w:rsid w:val="00077F68"/>
    <w:rsid w:val="00082C72"/>
    <w:rsid w:val="00083973"/>
    <w:rsid w:val="00087872"/>
    <w:rsid w:val="00087A24"/>
    <w:rsid w:val="00087B37"/>
    <w:rsid w:val="00090627"/>
    <w:rsid w:val="00093479"/>
    <w:rsid w:val="000A049D"/>
    <w:rsid w:val="000B00B7"/>
    <w:rsid w:val="000B1651"/>
    <w:rsid w:val="000B1781"/>
    <w:rsid w:val="000B1AC3"/>
    <w:rsid w:val="000B2803"/>
    <w:rsid w:val="000B5A88"/>
    <w:rsid w:val="000C2A87"/>
    <w:rsid w:val="000C4755"/>
    <w:rsid w:val="000C65EE"/>
    <w:rsid w:val="000C73D0"/>
    <w:rsid w:val="000D27F1"/>
    <w:rsid w:val="000D412B"/>
    <w:rsid w:val="000D4A4C"/>
    <w:rsid w:val="000D4FB8"/>
    <w:rsid w:val="000E4ACF"/>
    <w:rsid w:val="000E5605"/>
    <w:rsid w:val="000E5EC4"/>
    <w:rsid w:val="000E6EE7"/>
    <w:rsid w:val="000F01CA"/>
    <w:rsid w:val="000F2A6C"/>
    <w:rsid w:val="000F3435"/>
    <w:rsid w:val="000F6DBC"/>
    <w:rsid w:val="000F7938"/>
    <w:rsid w:val="00100176"/>
    <w:rsid w:val="00106A5D"/>
    <w:rsid w:val="00111935"/>
    <w:rsid w:val="00117AB6"/>
    <w:rsid w:val="0012178C"/>
    <w:rsid w:val="00124372"/>
    <w:rsid w:val="00126387"/>
    <w:rsid w:val="0012757B"/>
    <w:rsid w:val="00141897"/>
    <w:rsid w:val="001426E5"/>
    <w:rsid w:val="00143306"/>
    <w:rsid w:val="00145C87"/>
    <w:rsid w:val="00145FF1"/>
    <w:rsid w:val="00146069"/>
    <w:rsid w:val="00146BFD"/>
    <w:rsid w:val="001511EF"/>
    <w:rsid w:val="00151270"/>
    <w:rsid w:val="00152588"/>
    <w:rsid w:val="001555A1"/>
    <w:rsid w:val="00161B00"/>
    <w:rsid w:val="00166BE1"/>
    <w:rsid w:val="00167DC1"/>
    <w:rsid w:val="001705B8"/>
    <w:rsid w:val="001710AD"/>
    <w:rsid w:val="001715E1"/>
    <w:rsid w:val="00177A66"/>
    <w:rsid w:val="00181279"/>
    <w:rsid w:val="001815DA"/>
    <w:rsid w:val="00183A52"/>
    <w:rsid w:val="00187E1D"/>
    <w:rsid w:val="00193991"/>
    <w:rsid w:val="00194DF6"/>
    <w:rsid w:val="00195468"/>
    <w:rsid w:val="00195A83"/>
    <w:rsid w:val="001968FD"/>
    <w:rsid w:val="001970A9"/>
    <w:rsid w:val="001A0F7B"/>
    <w:rsid w:val="001A2295"/>
    <w:rsid w:val="001A41E9"/>
    <w:rsid w:val="001A6523"/>
    <w:rsid w:val="001A7D07"/>
    <w:rsid w:val="001B0CA0"/>
    <w:rsid w:val="001B68B6"/>
    <w:rsid w:val="001B7807"/>
    <w:rsid w:val="001B7E75"/>
    <w:rsid w:val="001C3F80"/>
    <w:rsid w:val="001C4A87"/>
    <w:rsid w:val="001C78F6"/>
    <w:rsid w:val="001C7B0A"/>
    <w:rsid w:val="001D0778"/>
    <w:rsid w:val="001D49DB"/>
    <w:rsid w:val="001D6AF7"/>
    <w:rsid w:val="001D772E"/>
    <w:rsid w:val="001E5883"/>
    <w:rsid w:val="001E5CA8"/>
    <w:rsid w:val="001F0F69"/>
    <w:rsid w:val="001F289F"/>
    <w:rsid w:val="001F2D29"/>
    <w:rsid w:val="001F39F3"/>
    <w:rsid w:val="001F5AA3"/>
    <w:rsid w:val="0020057E"/>
    <w:rsid w:val="002009C8"/>
    <w:rsid w:val="00200CA5"/>
    <w:rsid w:val="00201B26"/>
    <w:rsid w:val="00201B45"/>
    <w:rsid w:val="00203FFE"/>
    <w:rsid w:val="00204C73"/>
    <w:rsid w:val="00205A6B"/>
    <w:rsid w:val="00210581"/>
    <w:rsid w:val="00211F89"/>
    <w:rsid w:val="002126E6"/>
    <w:rsid w:val="00213806"/>
    <w:rsid w:val="00213FD7"/>
    <w:rsid w:val="002151FF"/>
    <w:rsid w:val="0021538D"/>
    <w:rsid w:val="00215A12"/>
    <w:rsid w:val="00216176"/>
    <w:rsid w:val="0022564C"/>
    <w:rsid w:val="002261D3"/>
    <w:rsid w:val="0022657B"/>
    <w:rsid w:val="0023197D"/>
    <w:rsid w:val="00235B62"/>
    <w:rsid w:val="0023749F"/>
    <w:rsid w:val="00237659"/>
    <w:rsid w:val="00245B4E"/>
    <w:rsid w:val="002478DD"/>
    <w:rsid w:val="002607A8"/>
    <w:rsid w:val="00261007"/>
    <w:rsid w:val="002619A3"/>
    <w:rsid w:val="002655FD"/>
    <w:rsid w:val="00266C54"/>
    <w:rsid w:val="002721CB"/>
    <w:rsid w:val="002875B3"/>
    <w:rsid w:val="002933BA"/>
    <w:rsid w:val="00293BE0"/>
    <w:rsid w:val="002959F1"/>
    <w:rsid w:val="00297015"/>
    <w:rsid w:val="002973BA"/>
    <w:rsid w:val="002A0A75"/>
    <w:rsid w:val="002A18D9"/>
    <w:rsid w:val="002B0566"/>
    <w:rsid w:val="002B1ACF"/>
    <w:rsid w:val="002B20CC"/>
    <w:rsid w:val="002B320E"/>
    <w:rsid w:val="002B4558"/>
    <w:rsid w:val="002C04ED"/>
    <w:rsid w:val="002C115D"/>
    <w:rsid w:val="002C1220"/>
    <w:rsid w:val="002C14E3"/>
    <w:rsid w:val="002C2390"/>
    <w:rsid w:val="002C28E8"/>
    <w:rsid w:val="002D0F06"/>
    <w:rsid w:val="002D19AA"/>
    <w:rsid w:val="002D3173"/>
    <w:rsid w:val="002D51BB"/>
    <w:rsid w:val="002E0685"/>
    <w:rsid w:val="002E290C"/>
    <w:rsid w:val="002E3C45"/>
    <w:rsid w:val="002F072E"/>
    <w:rsid w:val="002F44AA"/>
    <w:rsid w:val="002F5C4D"/>
    <w:rsid w:val="003018B9"/>
    <w:rsid w:val="00303A95"/>
    <w:rsid w:val="003061C2"/>
    <w:rsid w:val="00307A88"/>
    <w:rsid w:val="003138A3"/>
    <w:rsid w:val="0031460C"/>
    <w:rsid w:val="00316F21"/>
    <w:rsid w:val="00325002"/>
    <w:rsid w:val="003277AA"/>
    <w:rsid w:val="00327A01"/>
    <w:rsid w:val="00332658"/>
    <w:rsid w:val="0033324F"/>
    <w:rsid w:val="00333603"/>
    <w:rsid w:val="00333EDA"/>
    <w:rsid w:val="00335D29"/>
    <w:rsid w:val="00336FCA"/>
    <w:rsid w:val="003423A8"/>
    <w:rsid w:val="003423CC"/>
    <w:rsid w:val="00345364"/>
    <w:rsid w:val="00345B5B"/>
    <w:rsid w:val="0035263D"/>
    <w:rsid w:val="0035339E"/>
    <w:rsid w:val="00353EB8"/>
    <w:rsid w:val="00360146"/>
    <w:rsid w:val="00360A22"/>
    <w:rsid w:val="00362136"/>
    <w:rsid w:val="0036382E"/>
    <w:rsid w:val="0036462E"/>
    <w:rsid w:val="00365589"/>
    <w:rsid w:val="00366F07"/>
    <w:rsid w:val="00370F73"/>
    <w:rsid w:val="00373569"/>
    <w:rsid w:val="0037394B"/>
    <w:rsid w:val="003758AA"/>
    <w:rsid w:val="003765BB"/>
    <w:rsid w:val="003810E1"/>
    <w:rsid w:val="00381663"/>
    <w:rsid w:val="0038192B"/>
    <w:rsid w:val="0038349B"/>
    <w:rsid w:val="00385E68"/>
    <w:rsid w:val="0038725F"/>
    <w:rsid w:val="00387E23"/>
    <w:rsid w:val="003A329B"/>
    <w:rsid w:val="003A41D0"/>
    <w:rsid w:val="003A6C4D"/>
    <w:rsid w:val="003B12CF"/>
    <w:rsid w:val="003B20DF"/>
    <w:rsid w:val="003B56F6"/>
    <w:rsid w:val="003B6D21"/>
    <w:rsid w:val="003C2024"/>
    <w:rsid w:val="003C2BFD"/>
    <w:rsid w:val="003C2E92"/>
    <w:rsid w:val="003C3F0D"/>
    <w:rsid w:val="003D1723"/>
    <w:rsid w:val="003D5A05"/>
    <w:rsid w:val="003D6989"/>
    <w:rsid w:val="003D741E"/>
    <w:rsid w:val="003E1E1D"/>
    <w:rsid w:val="003E21B5"/>
    <w:rsid w:val="003E3EE6"/>
    <w:rsid w:val="003E5628"/>
    <w:rsid w:val="003E6CDD"/>
    <w:rsid w:val="003E7B81"/>
    <w:rsid w:val="003F59F4"/>
    <w:rsid w:val="003F63F3"/>
    <w:rsid w:val="003F74BE"/>
    <w:rsid w:val="0040164C"/>
    <w:rsid w:val="00402BD5"/>
    <w:rsid w:val="0041073A"/>
    <w:rsid w:val="0041121F"/>
    <w:rsid w:val="00411C9B"/>
    <w:rsid w:val="00421EE4"/>
    <w:rsid w:val="00426841"/>
    <w:rsid w:val="0043205E"/>
    <w:rsid w:val="0043261E"/>
    <w:rsid w:val="004331DA"/>
    <w:rsid w:val="00436074"/>
    <w:rsid w:val="004364A0"/>
    <w:rsid w:val="0044541E"/>
    <w:rsid w:val="004471FD"/>
    <w:rsid w:val="00447AC8"/>
    <w:rsid w:val="00450A7D"/>
    <w:rsid w:val="00453AC3"/>
    <w:rsid w:val="004574A3"/>
    <w:rsid w:val="004603FC"/>
    <w:rsid w:val="0046066E"/>
    <w:rsid w:val="004669C9"/>
    <w:rsid w:val="00467153"/>
    <w:rsid w:val="00472816"/>
    <w:rsid w:val="00472985"/>
    <w:rsid w:val="004736B1"/>
    <w:rsid w:val="004812B8"/>
    <w:rsid w:val="0048145F"/>
    <w:rsid w:val="004825CC"/>
    <w:rsid w:val="00483A01"/>
    <w:rsid w:val="00486B6C"/>
    <w:rsid w:val="00487672"/>
    <w:rsid w:val="00493F61"/>
    <w:rsid w:val="004A0E6F"/>
    <w:rsid w:val="004A60BE"/>
    <w:rsid w:val="004A67A4"/>
    <w:rsid w:val="004B0BB6"/>
    <w:rsid w:val="004B1BDF"/>
    <w:rsid w:val="004B2815"/>
    <w:rsid w:val="004C09C5"/>
    <w:rsid w:val="004C4382"/>
    <w:rsid w:val="004C49BF"/>
    <w:rsid w:val="004C4DA8"/>
    <w:rsid w:val="004C5F62"/>
    <w:rsid w:val="004C668F"/>
    <w:rsid w:val="004C7EF4"/>
    <w:rsid w:val="004D003A"/>
    <w:rsid w:val="004D0C08"/>
    <w:rsid w:val="004D6A84"/>
    <w:rsid w:val="004F40B1"/>
    <w:rsid w:val="004F48BF"/>
    <w:rsid w:val="0050083A"/>
    <w:rsid w:val="00500D17"/>
    <w:rsid w:val="00501E9D"/>
    <w:rsid w:val="00502324"/>
    <w:rsid w:val="00502DCB"/>
    <w:rsid w:val="00505D3C"/>
    <w:rsid w:val="0051276F"/>
    <w:rsid w:val="005179F3"/>
    <w:rsid w:val="005201AC"/>
    <w:rsid w:val="005202D4"/>
    <w:rsid w:val="005207E6"/>
    <w:rsid w:val="00521EE7"/>
    <w:rsid w:val="005224B8"/>
    <w:rsid w:val="0052459E"/>
    <w:rsid w:val="00535B59"/>
    <w:rsid w:val="005417F3"/>
    <w:rsid w:val="00542E8E"/>
    <w:rsid w:val="00543B31"/>
    <w:rsid w:val="0054577C"/>
    <w:rsid w:val="00545AAE"/>
    <w:rsid w:val="0054642E"/>
    <w:rsid w:val="0054747D"/>
    <w:rsid w:val="00552197"/>
    <w:rsid w:val="00553547"/>
    <w:rsid w:val="00553DDA"/>
    <w:rsid w:val="0055542C"/>
    <w:rsid w:val="00556822"/>
    <w:rsid w:val="00556B12"/>
    <w:rsid w:val="0056306A"/>
    <w:rsid w:val="00563668"/>
    <w:rsid w:val="005657FB"/>
    <w:rsid w:val="00570CB3"/>
    <w:rsid w:val="00571C61"/>
    <w:rsid w:val="00571EC2"/>
    <w:rsid w:val="00572B09"/>
    <w:rsid w:val="00581564"/>
    <w:rsid w:val="0058413A"/>
    <w:rsid w:val="0059275D"/>
    <w:rsid w:val="00592D5D"/>
    <w:rsid w:val="00595DB8"/>
    <w:rsid w:val="0059603D"/>
    <w:rsid w:val="00597AFB"/>
    <w:rsid w:val="005A309D"/>
    <w:rsid w:val="005A3FB6"/>
    <w:rsid w:val="005A7D79"/>
    <w:rsid w:val="005B300D"/>
    <w:rsid w:val="005B3C0C"/>
    <w:rsid w:val="005B460B"/>
    <w:rsid w:val="005C0DFE"/>
    <w:rsid w:val="005C17AC"/>
    <w:rsid w:val="005C3845"/>
    <w:rsid w:val="005C3CC0"/>
    <w:rsid w:val="005D118F"/>
    <w:rsid w:val="005D540B"/>
    <w:rsid w:val="005E1C19"/>
    <w:rsid w:val="005E6B72"/>
    <w:rsid w:val="005F7343"/>
    <w:rsid w:val="0060349F"/>
    <w:rsid w:val="00603A97"/>
    <w:rsid w:val="00606760"/>
    <w:rsid w:val="00607579"/>
    <w:rsid w:val="00616125"/>
    <w:rsid w:val="006166AC"/>
    <w:rsid w:val="006217F3"/>
    <w:rsid w:val="0062245B"/>
    <w:rsid w:val="00623441"/>
    <w:rsid w:val="00623CCF"/>
    <w:rsid w:val="00626ABC"/>
    <w:rsid w:val="006309A3"/>
    <w:rsid w:val="0063499E"/>
    <w:rsid w:val="00635B6E"/>
    <w:rsid w:val="00643262"/>
    <w:rsid w:val="00643B75"/>
    <w:rsid w:val="00644631"/>
    <w:rsid w:val="00646BDF"/>
    <w:rsid w:val="00650D50"/>
    <w:rsid w:val="00650DED"/>
    <w:rsid w:val="00651948"/>
    <w:rsid w:val="0065735C"/>
    <w:rsid w:val="00660412"/>
    <w:rsid w:val="006604FD"/>
    <w:rsid w:val="00660831"/>
    <w:rsid w:val="0066741E"/>
    <w:rsid w:val="006722E5"/>
    <w:rsid w:val="00673F4B"/>
    <w:rsid w:val="00674281"/>
    <w:rsid w:val="00674684"/>
    <w:rsid w:val="00674E8B"/>
    <w:rsid w:val="00685022"/>
    <w:rsid w:val="00687D2B"/>
    <w:rsid w:val="006970A5"/>
    <w:rsid w:val="006A223F"/>
    <w:rsid w:val="006A2FF4"/>
    <w:rsid w:val="006B0913"/>
    <w:rsid w:val="006B225B"/>
    <w:rsid w:val="006B231C"/>
    <w:rsid w:val="006B4DB3"/>
    <w:rsid w:val="006B4ECD"/>
    <w:rsid w:val="006C0FC4"/>
    <w:rsid w:val="006C1CE7"/>
    <w:rsid w:val="006C5B40"/>
    <w:rsid w:val="006C7A96"/>
    <w:rsid w:val="006D1747"/>
    <w:rsid w:val="006D1F1E"/>
    <w:rsid w:val="006D1F66"/>
    <w:rsid w:val="006D4135"/>
    <w:rsid w:val="006D491A"/>
    <w:rsid w:val="006D4AF8"/>
    <w:rsid w:val="006D62BD"/>
    <w:rsid w:val="006E052E"/>
    <w:rsid w:val="006E0989"/>
    <w:rsid w:val="006E0F28"/>
    <w:rsid w:val="006E267F"/>
    <w:rsid w:val="006E3EF9"/>
    <w:rsid w:val="006E63F5"/>
    <w:rsid w:val="006E6C52"/>
    <w:rsid w:val="006E6D45"/>
    <w:rsid w:val="006F1981"/>
    <w:rsid w:val="006F1CF2"/>
    <w:rsid w:val="006F37A5"/>
    <w:rsid w:val="006F7148"/>
    <w:rsid w:val="0070058F"/>
    <w:rsid w:val="00701E48"/>
    <w:rsid w:val="00702CC2"/>
    <w:rsid w:val="00703AAC"/>
    <w:rsid w:val="00720DBD"/>
    <w:rsid w:val="00721DBB"/>
    <w:rsid w:val="00724BBF"/>
    <w:rsid w:val="00726CA2"/>
    <w:rsid w:val="007342CD"/>
    <w:rsid w:val="00735349"/>
    <w:rsid w:val="00735B43"/>
    <w:rsid w:val="00744DC6"/>
    <w:rsid w:val="00746CC9"/>
    <w:rsid w:val="007529D4"/>
    <w:rsid w:val="00752F12"/>
    <w:rsid w:val="007559F2"/>
    <w:rsid w:val="00760A8E"/>
    <w:rsid w:val="007612B7"/>
    <w:rsid w:val="00763B8C"/>
    <w:rsid w:val="00763C72"/>
    <w:rsid w:val="007644EE"/>
    <w:rsid w:val="00770979"/>
    <w:rsid w:val="00770EB8"/>
    <w:rsid w:val="007739AF"/>
    <w:rsid w:val="00776D2E"/>
    <w:rsid w:val="0078202F"/>
    <w:rsid w:val="007828B6"/>
    <w:rsid w:val="00791C2C"/>
    <w:rsid w:val="00794377"/>
    <w:rsid w:val="007949B5"/>
    <w:rsid w:val="00795FB5"/>
    <w:rsid w:val="00796738"/>
    <w:rsid w:val="007A0776"/>
    <w:rsid w:val="007A080F"/>
    <w:rsid w:val="007A5E53"/>
    <w:rsid w:val="007B0A35"/>
    <w:rsid w:val="007B130E"/>
    <w:rsid w:val="007B37DB"/>
    <w:rsid w:val="007B41C5"/>
    <w:rsid w:val="007B5FBE"/>
    <w:rsid w:val="007C5B21"/>
    <w:rsid w:val="007C64EB"/>
    <w:rsid w:val="007C6EF3"/>
    <w:rsid w:val="007D1E35"/>
    <w:rsid w:val="007D28CA"/>
    <w:rsid w:val="007E4056"/>
    <w:rsid w:val="007E66D8"/>
    <w:rsid w:val="007E6C03"/>
    <w:rsid w:val="007F386E"/>
    <w:rsid w:val="007F6FBE"/>
    <w:rsid w:val="008008AB"/>
    <w:rsid w:val="00800E42"/>
    <w:rsid w:val="00807AB5"/>
    <w:rsid w:val="00814F56"/>
    <w:rsid w:val="00817CB9"/>
    <w:rsid w:val="00820726"/>
    <w:rsid w:val="00826242"/>
    <w:rsid w:val="008271CC"/>
    <w:rsid w:val="00832325"/>
    <w:rsid w:val="00834D2A"/>
    <w:rsid w:val="00835886"/>
    <w:rsid w:val="00835924"/>
    <w:rsid w:val="0083673D"/>
    <w:rsid w:val="008373CB"/>
    <w:rsid w:val="008376FC"/>
    <w:rsid w:val="00840CA8"/>
    <w:rsid w:val="00844447"/>
    <w:rsid w:val="008445B5"/>
    <w:rsid w:val="00851710"/>
    <w:rsid w:val="008519B3"/>
    <w:rsid w:val="00851A9A"/>
    <w:rsid w:val="00854067"/>
    <w:rsid w:val="00860981"/>
    <w:rsid w:val="00861574"/>
    <w:rsid w:val="00863161"/>
    <w:rsid w:val="00865551"/>
    <w:rsid w:val="008663C9"/>
    <w:rsid w:val="00870117"/>
    <w:rsid w:val="008718E6"/>
    <w:rsid w:val="00871A86"/>
    <w:rsid w:val="00871D65"/>
    <w:rsid w:val="00874357"/>
    <w:rsid w:val="00880F15"/>
    <w:rsid w:val="00882963"/>
    <w:rsid w:val="0088430F"/>
    <w:rsid w:val="00884902"/>
    <w:rsid w:val="0089296B"/>
    <w:rsid w:val="00897971"/>
    <w:rsid w:val="008A3442"/>
    <w:rsid w:val="008A397B"/>
    <w:rsid w:val="008A41DA"/>
    <w:rsid w:val="008A6B13"/>
    <w:rsid w:val="008B01E6"/>
    <w:rsid w:val="008B02A2"/>
    <w:rsid w:val="008B1B34"/>
    <w:rsid w:val="008B3FEF"/>
    <w:rsid w:val="008B4CB5"/>
    <w:rsid w:val="008B5259"/>
    <w:rsid w:val="008B602B"/>
    <w:rsid w:val="008B75CA"/>
    <w:rsid w:val="008B77D2"/>
    <w:rsid w:val="008C0AC4"/>
    <w:rsid w:val="008D25BC"/>
    <w:rsid w:val="008D35C4"/>
    <w:rsid w:val="008D429E"/>
    <w:rsid w:val="008D6738"/>
    <w:rsid w:val="008D6A87"/>
    <w:rsid w:val="008D739D"/>
    <w:rsid w:val="008D79BB"/>
    <w:rsid w:val="008D7ED6"/>
    <w:rsid w:val="008E2CE7"/>
    <w:rsid w:val="008E309E"/>
    <w:rsid w:val="008E5A74"/>
    <w:rsid w:val="008F6083"/>
    <w:rsid w:val="008F6671"/>
    <w:rsid w:val="008F7B52"/>
    <w:rsid w:val="009001BB"/>
    <w:rsid w:val="00904D60"/>
    <w:rsid w:val="009063CA"/>
    <w:rsid w:val="00914A6E"/>
    <w:rsid w:val="00920947"/>
    <w:rsid w:val="00921AC5"/>
    <w:rsid w:val="00921CD7"/>
    <w:rsid w:val="00926915"/>
    <w:rsid w:val="00931C54"/>
    <w:rsid w:val="00932935"/>
    <w:rsid w:val="009370A0"/>
    <w:rsid w:val="009378B9"/>
    <w:rsid w:val="00937A29"/>
    <w:rsid w:val="00940D34"/>
    <w:rsid w:val="009441CF"/>
    <w:rsid w:val="00956204"/>
    <w:rsid w:val="0095695E"/>
    <w:rsid w:val="009619E9"/>
    <w:rsid w:val="0096430E"/>
    <w:rsid w:val="00966EA2"/>
    <w:rsid w:val="00970AE2"/>
    <w:rsid w:val="00971D4A"/>
    <w:rsid w:val="009726AE"/>
    <w:rsid w:val="00972CF1"/>
    <w:rsid w:val="00974883"/>
    <w:rsid w:val="00974B69"/>
    <w:rsid w:val="00976F82"/>
    <w:rsid w:val="009775C6"/>
    <w:rsid w:val="00983816"/>
    <w:rsid w:val="00983A08"/>
    <w:rsid w:val="009865B4"/>
    <w:rsid w:val="009912A3"/>
    <w:rsid w:val="00993B4D"/>
    <w:rsid w:val="00994487"/>
    <w:rsid w:val="00994B56"/>
    <w:rsid w:val="0099590F"/>
    <w:rsid w:val="00997822"/>
    <w:rsid w:val="009A4EA0"/>
    <w:rsid w:val="009A5925"/>
    <w:rsid w:val="009A7909"/>
    <w:rsid w:val="009A7938"/>
    <w:rsid w:val="009A7D3F"/>
    <w:rsid w:val="009B0EB7"/>
    <w:rsid w:val="009B29AA"/>
    <w:rsid w:val="009B372D"/>
    <w:rsid w:val="009B61DF"/>
    <w:rsid w:val="009B6FCF"/>
    <w:rsid w:val="009C0DA5"/>
    <w:rsid w:val="009C2F3C"/>
    <w:rsid w:val="009C4953"/>
    <w:rsid w:val="009C5838"/>
    <w:rsid w:val="009D3EC8"/>
    <w:rsid w:val="009E08AD"/>
    <w:rsid w:val="009E15C9"/>
    <w:rsid w:val="009E7EB3"/>
    <w:rsid w:val="009F0F4E"/>
    <w:rsid w:val="009F47EB"/>
    <w:rsid w:val="009F610B"/>
    <w:rsid w:val="009F70D3"/>
    <w:rsid w:val="009F731D"/>
    <w:rsid w:val="009F7EDF"/>
    <w:rsid w:val="00A00881"/>
    <w:rsid w:val="00A01E5B"/>
    <w:rsid w:val="00A050A5"/>
    <w:rsid w:val="00A1136F"/>
    <w:rsid w:val="00A13D70"/>
    <w:rsid w:val="00A15CC8"/>
    <w:rsid w:val="00A23899"/>
    <w:rsid w:val="00A238B9"/>
    <w:rsid w:val="00A24BAA"/>
    <w:rsid w:val="00A305AC"/>
    <w:rsid w:val="00A34EB9"/>
    <w:rsid w:val="00A35B2F"/>
    <w:rsid w:val="00A3624B"/>
    <w:rsid w:val="00A37240"/>
    <w:rsid w:val="00A40A32"/>
    <w:rsid w:val="00A44615"/>
    <w:rsid w:val="00A52ACB"/>
    <w:rsid w:val="00A54B7E"/>
    <w:rsid w:val="00A55F56"/>
    <w:rsid w:val="00A578A7"/>
    <w:rsid w:val="00A602DD"/>
    <w:rsid w:val="00A60988"/>
    <w:rsid w:val="00A65A74"/>
    <w:rsid w:val="00A6775E"/>
    <w:rsid w:val="00A71603"/>
    <w:rsid w:val="00A7300B"/>
    <w:rsid w:val="00A745C3"/>
    <w:rsid w:val="00A85B4F"/>
    <w:rsid w:val="00A877DD"/>
    <w:rsid w:val="00A92105"/>
    <w:rsid w:val="00A921B7"/>
    <w:rsid w:val="00A96532"/>
    <w:rsid w:val="00A96829"/>
    <w:rsid w:val="00AA1C43"/>
    <w:rsid w:val="00AA3931"/>
    <w:rsid w:val="00AA40EF"/>
    <w:rsid w:val="00AA523D"/>
    <w:rsid w:val="00AB1BB8"/>
    <w:rsid w:val="00AB57ED"/>
    <w:rsid w:val="00AB6531"/>
    <w:rsid w:val="00AC16A7"/>
    <w:rsid w:val="00AC1AA0"/>
    <w:rsid w:val="00AC2AC8"/>
    <w:rsid w:val="00AC2D2B"/>
    <w:rsid w:val="00AC646C"/>
    <w:rsid w:val="00AD3623"/>
    <w:rsid w:val="00AE0EF6"/>
    <w:rsid w:val="00AE5208"/>
    <w:rsid w:val="00AF0CEB"/>
    <w:rsid w:val="00AF16EB"/>
    <w:rsid w:val="00AF427A"/>
    <w:rsid w:val="00AF4C43"/>
    <w:rsid w:val="00AF5723"/>
    <w:rsid w:val="00AF6429"/>
    <w:rsid w:val="00AF7733"/>
    <w:rsid w:val="00AF7A1F"/>
    <w:rsid w:val="00B021FE"/>
    <w:rsid w:val="00B0331B"/>
    <w:rsid w:val="00B07DAB"/>
    <w:rsid w:val="00B12810"/>
    <w:rsid w:val="00B12B43"/>
    <w:rsid w:val="00B13161"/>
    <w:rsid w:val="00B15A3B"/>
    <w:rsid w:val="00B16F56"/>
    <w:rsid w:val="00B2124C"/>
    <w:rsid w:val="00B21A8D"/>
    <w:rsid w:val="00B22C01"/>
    <w:rsid w:val="00B23FA8"/>
    <w:rsid w:val="00B24D21"/>
    <w:rsid w:val="00B25F22"/>
    <w:rsid w:val="00B271E4"/>
    <w:rsid w:val="00B33A3D"/>
    <w:rsid w:val="00B35F9D"/>
    <w:rsid w:val="00B36C97"/>
    <w:rsid w:val="00B37338"/>
    <w:rsid w:val="00B42761"/>
    <w:rsid w:val="00B51A5A"/>
    <w:rsid w:val="00B51C2C"/>
    <w:rsid w:val="00B5531F"/>
    <w:rsid w:val="00B57AAA"/>
    <w:rsid w:val="00B621EA"/>
    <w:rsid w:val="00B63680"/>
    <w:rsid w:val="00B63714"/>
    <w:rsid w:val="00B67222"/>
    <w:rsid w:val="00B67A4A"/>
    <w:rsid w:val="00B67E0A"/>
    <w:rsid w:val="00B71FF3"/>
    <w:rsid w:val="00B74FF4"/>
    <w:rsid w:val="00B752BF"/>
    <w:rsid w:val="00B76FDA"/>
    <w:rsid w:val="00B80542"/>
    <w:rsid w:val="00B80A81"/>
    <w:rsid w:val="00B80D40"/>
    <w:rsid w:val="00B8133C"/>
    <w:rsid w:val="00B816D5"/>
    <w:rsid w:val="00B8333D"/>
    <w:rsid w:val="00B8553C"/>
    <w:rsid w:val="00B86BF5"/>
    <w:rsid w:val="00B871A9"/>
    <w:rsid w:val="00B900F4"/>
    <w:rsid w:val="00B90476"/>
    <w:rsid w:val="00B94F9B"/>
    <w:rsid w:val="00B97021"/>
    <w:rsid w:val="00BA4030"/>
    <w:rsid w:val="00BA4270"/>
    <w:rsid w:val="00BA78D7"/>
    <w:rsid w:val="00BB1361"/>
    <w:rsid w:val="00BB2E09"/>
    <w:rsid w:val="00BB5FFA"/>
    <w:rsid w:val="00BB7EBC"/>
    <w:rsid w:val="00BC511A"/>
    <w:rsid w:val="00BC56AA"/>
    <w:rsid w:val="00BC65D9"/>
    <w:rsid w:val="00BC7323"/>
    <w:rsid w:val="00BD147C"/>
    <w:rsid w:val="00BD3956"/>
    <w:rsid w:val="00BD5791"/>
    <w:rsid w:val="00BD6390"/>
    <w:rsid w:val="00BE0ECE"/>
    <w:rsid w:val="00BE1FB2"/>
    <w:rsid w:val="00BE32D7"/>
    <w:rsid w:val="00BE5368"/>
    <w:rsid w:val="00BE609C"/>
    <w:rsid w:val="00BE6CEF"/>
    <w:rsid w:val="00BE7649"/>
    <w:rsid w:val="00BE7FD5"/>
    <w:rsid w:val="00BF081A"/>
    <w:rsid w:val="00BF0C68"/>
    <w:rsid w:val="00BF113F"/>
    <w:rsid w:val="00BF13E7"/>
    <w:rsid w:val="00BF6D36"/>
    <w:rsid w:val="00C021CB"/>
    <w:rsid w:val="00C0270B"/>
    <w:rsid w:val="00C033D3"/>
    <w:rsid w:val="00C04115"/>
    <w:rsid w:val="00C0669B"/>
    <w:rsid w:val="00C11C2E"/>
    <w:rsid w:val="00C11C7F"/>
    <w:rsid w:val="00C14299"/>
    <w:rsid w:val="00C155F8"/>
    <w:rsid w:val="00C1568D"/>
    <w:rsid w:val="00C22D25"/>
    <w:rsid w:val="00C34AFE"/>
    <w:rsid w:val="00C35079"/>
    <w:rsid w:val="00C357A1"/>
    <w:rsid w:val="00C47F4F"/>
    <w:rsid w:val="00C53F04"/>
    <w:rsid w:val="00C562AC"/>
    <w:rsid w:val="00C6140B"/>
    <w:rsid w:val="00C675FA"/>
    <w:rsid w:val="00C67872"/>
    <w:rsid w:val="00C7073B"/>
    <w:rsid w:val="00C714C3"/>
    <w:rsid w:val="00C7421A"/>
    <w:rsid w:val="00C74F85"/>
    <w:rsid w:val="00C833CD"/>
    <w:rsid w:val="00C83430"/>
    <w:rsid w:val="00C84595"/>
    <w:rsid w:val="00C86907"/>
    <w:rsid w:val="00C87A2B"/>
    <w:rsid w:val="00C91076"/>
    <w:rsid w:val="00C91949"/>
    <w:rsid w:val="00C94A8A"/>
    <w:rsid w:val="00C9526E"/>
    <w:rsid w:val="00CA1A3A"/>
    <w:rsid w:val="00CA4685"/>
    <w:rsid w:val="00CA6060"/>
    <w:rsid w:val="00CA622B"/>
    <w:rsid w:val="00CA6EC1"/>
    <w:rsid w:val="00CA7A89"/>
    <w:rsid w:val="00CB5278"/>
    <w:rsid w:val="00CC18C3"/>
    <w:rsid w:val="00CC1EA4"/>
    <w:rsid w:val="00CC21B6"/>
    <w:rsid w:val="00CC3A22"/>
    <w:rsid w:val="00CC4DBC"/>
    <w:rsid w:val="00CD1068"/>
    <w:rsid w:val="00CE2651"/>
    <w:rsid w:val="00CE4EB4"/>
    <w:rsid w:val="00CE7B56"/>
    <w:rsid w:val="00CF5547"/>
    <w:rsid w:val="00CF62D5"/>
    <w:rsid w:val="00D00508"/>
    <w:rsid w:val="00D01475"/>
    <w:rsid w:val="00D02077"/>
    <w:rsid w:val="00D0263B"/>
    <w:rsid w:val="00D04036"/>
    <w:rsid w:val="00D06EF4"/>
    <w:rsid w:val="00D2282F"/>
    <w:rsid w:val="00D3057B"/>
    <w:rsid w:val="00D31325"/>
    <w:rsid w:val="00D31443"/>
    <w:rsid w:val="00D31E71"/>
    <w:rsid w:val="00D37745"/>
    <w:rsid w:val="00D402F4"/>
    <w:rsid w:val="00D403B9"/>
    <w:rsid w:val="00D42D94"/>
    <w:rsid w:val="00D4308F"/>
    <w:rsid w:val="00D44274"/>
    <w:rsid w:val="00D44ABB"/>
    <w:rsid w:val="00D4769F"/>
    <w:rsid w:val="00D50A4F"/>
    <w:rsid w:val="00D513A0"/>
    <w:rsid w:val="00D54108"/>
    <w:rsid w:val="00D54A81"/>
    <w:rsid w:val="00D54D7B"/>
    <w:rsid w:val="00D5651F"/>
    <w:rsid w:val="00D60D32"/>
    <w:rsid w:val="00D64F4E"/>
    <w:rsid w:val="00D66B4D"/>
    <w:rsid w:val="00D67D64"/>
    <w:rsid w:val="00D7220E"/>
    <w:rsid w:val="00D724D2"/>
    <w:rsid w:val="00D76540"/>
    <w:rsid w:val="00D80BE5"/>
    <w:rsid w:val="00D81721"/>
    <w:rsid w:val="00D82B28"/>
    <w:rsid w:val="00D83AC8"/>
    <w:rsid w:val="00D9540C"/>
    <w:rsid w:val="00DA2E44"/>
    <w:rsid w:val="00DA3278"/>
    <w:rsid w:val="00DB7658"/>
    <w:rsid w:val="00DD3565"/>
    <w:rsid w:val="00DD7047"/>
    <w:rsid w:val="00DD737D"/>
    <w:rsid w:val="00DD78E3"/>
    <w:rsid w:val="00DE0866"/>
    <w:rsid w:val="00DE4D56"/>
    <w:rsid w:val="00DE4EF1"/>
    <w:rsid w:val="00DE5DBF"/>
    <w:rsid w:val="00DE6FC5"/>
    <w:rsid w:val="00DF27D6"/>
    <w:rsid w:val="00DF32E7"/>
    <w:rsid w:val="00DF3C71"/>
    <w:rsid w:val="00DF656B"/>
    <w:rsid w:val="00E02158"/>
    <w:rsid w:val="00E044E1"/>
    <w:rsid w:val="00E07548"/>
    <w:rsid w:val="00E13136"/>
    <w:rsid w:val="00E14E67"/>
    <w:rsid w:val="00E15043"/>
    <w:rsid w:val="00E200F4"/>
    <w:rsid w:val="00E2511F"/>
    <w:rsid w:val="00E26BF5"/>
    <w:rsid w:val="00E27F2A"/>
    <w:rsid w:val="00E35573"/>
    <w:rsid w:val="00E37D9F"/>
    <w:rsid w:val="00E403BA"/>
    <w:rsid w:val="00E4153D"/>
    <w:rsid w:val="00E4344A"/>
    <w:rsid w:val="00E447BB"/>
    <w:rsid w:val="00E56492"/>
    <w:rsid w:val="00E611F6"/>
    <w:rsid w:val="00E66AFB"/>
    <w:rsid w:val="00E7519E"/>
    <w:rsid w:val="00E764C3"/>
    <w:rsid w:val="00E8542B"/>
    <w:rsid w:val="00E86913"/>
    <w:rsid w:val="00E904FB"/>
    <w:rsid w:val="00E95C1B"/>
    <w:rsid w:val="00E95EE2"/>
    <w:rsid w:val="00EA10E1"/>
    <w:rsid w:val="00EA23B4"/>
    <w:rsid w:val="00EA2589"/>
    <w:rsid w:val="00EA2DA5"/>
    <w:rsid w:val="00EA4366"/>
    <w:rsid w:val="00EA543B"/>
    <w:rsid w:val="00EA7FD2"/>
    <w:rsid w:val="00EB1888"/>
    <w:rsid w:val="00EB25BA"/>
    <w:rsid w:val="00EB6110"/>
    <w:rsid w:val="00EB6BB0"/>
    <w:rsid w:val="00EC6A96"/>
    <w:rsid w:val="00EC7461"/>
    <w:rsid w:val="00EC76A8"/>
    <w:rsid w:val="00ED2CF8"/>
    <w:rsid w:val="00ED33BF"/>
    <w:rsid w:val="00ED4071"/>
    <w:rsid w:val="00ED4CCA"/>
    <w:rsid w:val="00ED5AE5"/>
    <w:rsid w:val="00EE26CD"/>
    <w:rsid w:val="00EE3009"/>
    <w:rsid w:val="00EE53DA"/>
    <w:rsid w:val="00EE73BB"/>
    <w:rsid w:val="00EF04FD"/>
    <w:rsid w:val="00EF2E98"/>
    <w:rsid w:val="00EF36D7"/>
    <w:rsid w:val="00EF51D8"/>
    <w:rsid w:val="00F05117"/>
    <w:rsid w:val="00F05D4D"/>
    <w:rsid w:val="00F05E12"/>
    <w:rsid w:val="00F07CA4"/>
    <w:rsid w:val="00F12D37"/>
    <w:rsid w:val="00F1676C"/>
    <w:rsid w:val="00F215D4"/>
    <w:rsid w:val="00F21FD6"/>
    <w:rsid w:val="00F235C8"/>
    <w:rsid w:val="00F25501"/>
    <w:rsid w:val="00F2714E"/>
    <w:rsid w:val="00F27220"/>
    <w:rsid w:val="00F323B7"/>
    <w:rsid w:val="00F33D50"/>
    <w:rsid w:val="00F4068A"/>
    <w:rsid w:val="00F40D05"/>
    <w:rsid w:val="00F4158F"/>
    <w:rsid w:val="00F41917"/>
    <w:rsid w:val="00F4685F"/>
    <w:rsid w:val="00F471D8"/>
    <w:rsid w:val="00F5361F"/>
    <w:rsid w:val="00F54142"/>
    <w:rsid w:val="00F553F7"/>
    <w:rsid w:val="00F55526"/>
    <w:rsid w:val="00F56F4F"/>
    <w:rsid w:val="00F64181"/>
    <w:rsid w:val="00F645C2"/>
    <w:rsid w:val="00F6574F"/>
    <w:rsid w:val="00F67E64"/>
    <w:rsid w:val="00F724A6"/>
    <w:rsid w:val="00F75024"/>
    <w:rsid w:val="00F75646"/>
    <w:rsid w:val="00F819EF"/>
    <w:rsid w:val="00F83853"/>
    <w:rsid w:val="00F904C7"/>
    <w:rsid w:val="00F9244B"/>
    <w:rsid w:val="00F967DB"/>
    <w:rsid w:val="00F97B97"/>
    <w:rsid w:val="00FA0888"/>
    <w:rsid w:val="00FA492D"/>
    <w:rsid w:val="00FA5DC0"/>
    <w:rsid w:val="00FB188C"/>
    <w:rsid w:val="00FB4837"/>
    <w:rsid w:val="00FB5684"/>
    <w:rsid w:val="00FB5CD4"/>
    <w:rsid w:val="00FB65F0"/>
    <w:rsid w:val="00FC439F"/>
    <w:rsid w:val="00FD5E4D"/>
    <w:rsid w:val="00FE0B7A"/>
    <w:rsid w:val="00FE4BD3"/>
    <w:rsid w:val="00FF030B"/>
    <w:rsid w:val="00FF0B6A"/>
    <w:rsid w:val="00FF391F"/>
    <w:rsid w:val="00FF5FC8"/>
    <w:rsid w:val="00FF773E"/>
    <w:rsid w:val="01510E24"/>
    <w:rsid w:val="026308D6"/>
    <w:rsid w:val="03B06C8B"/>
    <w:rsid w:val="03FFE74D"/>
    <w:rsid w:val="06DD108A"/>
    <w:rsid w:val="0777EF7A"/>
    <w:rsid w:val="07A62D33"/>
    <w:rsid w:val="0BCA3AF3"/>
    <w:rsid w:val="0BD70308"/>
    <w:rsid w:val="0BFF4076"/>
    <w:rsid w:val="0D1A18C5"/>
    <w:rsid w:val="0DBFC133"/>
    <w:rsid w:val="0DF20690"/>
    <w:rsid w:val="0DF46DB9"/>
    <w:rsid w:val="0DFE8725"/>
    <w:rsid w:val="0EDDAB93"/>
    <w:rsid w:val="0FBEDC62"/>
    <w:rsid w:val="0FCE9917"/>
    <w:rsid w:val="0FFB43B6"/>
    <w:rsid w:val="0FFD160E"/>
    <w:rsid w:val="0FFFD05A"/>
    <w:rsid w:val="102E2B3E"/>
    <w:rsid w:val="10704BA7"/>
    <w:rsid w:val="11DB96D1"/>
    <w:rsid w:val="13FFA514"/>
    <w:rsid w:val="148B29AC"/>
    <w:rsid w:val="15EF1980"/>
    <w:rsid w:val="15FDAC2A"/>
    <w:rsid w:val="15FFA919"/>
    <w:rsid w:val="16376A65"/>
    <w:rsid w:val="166FF96D"/>
    <w:rsid w:val="16AD8EC3"/>
    <w:rsid w:val="16F65CBB"/>
    <w:rsid w:val="17B8A820"/>
    <w:rsid w:val="17DFAF61"/>
    <w:rsid w:val="17ECECD9"/>
    <w:rsid w:val="18365A0D"/>
    <w:rsid w:val="187FC5FE"/>
    <w:rsid w:val="189FF624"/>
    <w:rsid w:val="1A897F5E"/>
    <w:rsid w:val="1B395235"/>
    <w:rsid w:val="1B7E1E8B"/>
    <w:rsid w:val="1BFB4750"/>
    <w:rsid w:val="1BFFF88E"/>
    <w:rsid w:val="1C116724"/>
    <w:rsid w:val="1CF54A92"/>
    <w:rsid w:val="1D0FE7F7"/>
    <w:rsid w:val="1E9B9741"/>
    <w:rsid w:val="1EAC07D7"/>
    <w:rsid w:val="1EBC8E66"/>
    <w:rsid w:val="1F1670DB"/>
    <w:rsid w:val="1F7F9FF5"/>
    <w:rsid w:val="1FCF4C11"/>
    <w:rsid w:val="1FD7F8CC"/>
    <w:rsid w:val="1FFEE9DB"/>
    <w:rsid w:val="1FFF3CBC"/>
    <w:rsid w:val="21135E57"/>
    <w:rsid w:val="22F7A337"/>
    <w:rsid w:val="2320710E"/>
    <w:rsid w:val="23EBBCB5"/>
    <w:rsid w:val="24224D88"/>
    <w:rsid w:val="25C26B32"/>
    <w:rsid w:val="25FE96E9"/>
    <w:rsid w:val="269588FE"/>
    <w:rsid w:val="26D47DAF"/>
    <w:rsid w:val="26F1CAAB"/>
    <w:rsid w:val="26FF77A6"/>
    <w:rsid w:val="27FAF26A"/>
    <w:rsid w:val="2A9580D8"/>
    <w:rsid w:val="2B7DABFB"/>
    <w:rsid w:val="2C5A1BD3"/>
    <w:rsid w:val="2CDC6E0D"/>
    <w:rsid w:val="2CE33F5E"/>
    <w:rsid w:val="2E6FE216"/>
    <w:rsid w:val="2EAF8143"/>
    <w:rsid w:val="2EF3FD4C"/>
    <w:rsid w:val="2EFB2324"/>
    <w:rsid w:val="2F212EDA"/>
    <w:rsid w:val="2F5B7B4D"/>
    <w:rsid w:val="2F7B581A"/>
    <w:rsid w:val="2F9E6E3A"/>
    <w:rsid w:val="2FB3D95F"/>
    <w:rsid w:val="2FBD725A"/>
    <w:rsid w:val="2FBE5F0F"/>
    <w:rsid w:val="2FD737EF"/>
    <w:rsid w:val="2FDFF3D1"/>
    <w:rsid w:val="2FF722CD"/>
    <w:rsid w:val="2FFB630B"/>
    <w:rsid w:val="303738BB"/>
    <w:rsid w:val="30BB1C44"/>
    <w:rsid w:val="3155E89B"/>
    <w:rsid w:val="318B2A22"/>
    <w:rsid w:val="32963B96"/>
    <w:rsid w:val="331F8413"/>
    <w:rsid w:val="33B46690"/>
    <w:rsid w:val="33DF6363"/>
    <w:rsid w:val="33FF2F1D"/>
    <w:rsid w:val="35FCED87"/>
    <w:rsid w:val="35FF0144"/>
    <w:rsid w:val="36E31780"/>
    <w:rsid w:val="36FD6062"/>
    <w:rsid w:val="370FDC87"/>
    <w:rsid w:val="3744CEC9"/>
    <w:rsid w:val="377FAA1C"/>
    <w:rsid w:val="37A72BB1"/>
    <w:rsid w:val="37D1F559"/>
    <w:rsid w:val="37D7042B"/>
    <w:rsid w:val="37DFF5E3"/>
    <w:rsid w:val="37F44B8C"/>
    <w:rsid w:val="37F7D8FD"/>
    <w:rsid w:val="37FB20E7"/>
    <w:rsid w:val="38655E61"/>
    <w:rsid w:val="38FF4501"/>
    <w:rsid w:val="39AF42FA"/>
    <w:rsid w:val="39FE2A87"/>
    <w:rsid w:val="3A7F7023"/>
    <w:rsid w:val="3A877194"/>
    <w:rsid w:val="3AF9FFF9"/>
    <w:rsid w:val="3AFE62FC"/>
    <w:rsid w:val="3B2F3854"/>
    <w:rsid w:val="3B61568A"/>
    <w:rsid w:val="3B7DD10A"/>
    <w:rsid w:val="3B9E149C"/>
    <w:rsid w:val="3BDCD9D7"/>
    <w:rsid w:val="3BF514B3"/>
    <w:rsid w:val="3BFEB270"/>
    <w:rsid w:val="3BFF97FE"/>
    <w:rsid w:val="3BFFD5FA"/>
    <w:rsid w:val="3C5DB783"/>
    <w:rsid w:val="3C6D9CD1"/>
    <w:rsid w:val="3C906F32"/>
    <w:rsid w:val="3CFFCE1A"/>
    <w:rsid w:val="3D4F2398"/>
    <w:rsid w:val="3D5E2924"/>
    <w:rsid w:val="3D5EE373"/>
    <w:rsid w:val="3D5FEBB6"/>
    <w:rsid w:val="3D7564C6"/>
    <w:rsid w:val="3D7EB5F2"/>
    <w:rsid w:val="3DA9735A"/>
    <w:rsid w:val="3DC70F05"/>
    <w:rsid w:val="3DDA514B"/>
    <w:rsid w:val="3DE9C5C0"/>
    <w:rsid w:val="3DEA870F"/>
    <w:rsid w:val="3DF41C36"/>
    <w:rsid w:val="3DF94AF0"/>
    <w:rsid w:val="3E7FFD00"/>
    <w:rsid w:val="3EA6E995"/>
    <w:rsid w:val="3EAF415D"/>
    <w:rsid w:val="3EBF4DB1"/>
    <w:rsid w:val="3ECEBB66"/>
    <w:rsid w:val="3EF59CA5"/>
    <w:rsid w:val="3EF72024"/>
    <w:rsid w:val="3EFD90D1"/>
    <w:rsid w:val="3EFF6174"/>
    <w:rsid w:val="3EFF8D1A"/>
    <w:rsid w:val="3F55909D"/>
    <w:rsid w:val="3F5FAA20"/>
    <w:rsid w:val="3F8D8EAE"/>
    <w:rsid w:val="3F9510AC"/>
    <w:rsid w:val="3F9E5F2C"/>
    <w:rsid w:val="3F9F57E2"/>
    <w:rsid w:val="3FA3D87D"/>
    <w:rsid w:val="3FAA10BE"/>
    <w:rsid w:val="3FB6CDA8"/>
    <w:rsid w:val="3FBB8255"/>
    <w:rsid w:val="3FBD1B41"/>
    <w:rsid w:val="3FBF3092"/>
    <w:rsid w:val="3FD5F146"/>
    <w:rsid w:val="3FDAA791"/>
    <w:rsid w:val="3FDB2747"/>
    <w:rsid w:val="3FDE48A4"/>
    <w:rsid w:val="3FDF05F0"/>
    <w:rsid w:val="3FDFAA41"/>
    <w:rsid w:val="3FEE59DC"/>
    <w:rsid w:val="3FF33CE8"/>
    <w:rsid w:val="3FFD26EA"/>
    <w:rsid w:val="3FFF84E1"/>
    <w:rsid w:val="3FFFA202"/>
    <w:rsid w:val="41674BE2"/>
    <w:rsid w:val="4256CB99"/>
    <w:rsid w:val="42A81132"/>
    <w:rsid w:val="4395FF4A"/>
    <w:rsid w:val="44B76729"/>
    <w:rsid w:val="452A18A3"/>
    <w:rsid w:val="46431C73"/>
    <w:rsid w:val="465FA892"/>
    <w:rsid w:val="46A05E6B"/>
    <w:rsid w:val="471CAE20"/>
    <w:rsid w:val="48111527"/>
    <w:rsid w:val="495FD6A1"/>
    <w:rsid w:val="49DEA757"/>
    <w:rsid w:val="4AB61EE1"/>
    <w:rsid w:val="4ACD54D9"/>
    <w:rsid w:val="4AECBBA1"/>
    <w:rsid w:val="4AFF321C"/>
    <w:rsid w:val="4B0B079B"/>
    <w:rsid w:val="4B160191"/>
    <w:rsid w:val="4BFB9A45"/>
    <w:rsid w:val="4BFE3C84"/>
    <w:rsid w:val="4BFE762A"/>
    <w:rsid w:val="4BFEBDAE"/>
    <w:rsid w:val="4BFF7D84"/>
    <w:rsid w:val="4CFEEA07"/>
    <w:rsid w:val="4CFF9652"/>
    <w:rsid w:val="4DF7C8EC"/>
    <w:rsid w:val="4DFB9850"/>
    <w:rsid w:val="4E7E6BBF"/>
    <w:rsid w:val="4E9FE00C"/>
    <w:rsid w:val="4F5F6469"/>
    <w:rsid w:val="4FBFB8F8"/>
    <w:rsid w:val="4FF9437B"/>
    <w:rsid w:val="4FFF899B"/>
    <w:rsid w:val="4FFFE767"/>
    <w:rsid w:val="503939C6"/>
    <w:rsid w:val="51D9B580"/>
    <w:rsid w:val="5206273A"/>
    <w:rsid w:val="52DFB329"/>
    <w:rsid w:val="53DD3E3A"/>
    <w:rsid w:val="53F7F7DB"/>
    <w:rsid w:val="5473280F"/>
    <w:rsid w:val="55082513"/>
    <w:rsid w:val="55B5802A"/>
    <w:rsid w:val="55FA4B8C"/>
    <w:rsid w:val="55FE585D"/>
    <w:rsid w:val="56677412"/>
    <w:rsid w:val="56AF7182"/>
    <w:rsid w:val="56BC15D1"/>
    <w:rsid w:val="56BCFB2C"/>
    <w:rsid w:val="56E6562F"/>
    <w:rsid w:val="56F9B1A7"/>
    <w:rsid w:val="56FDEE87"/>
    <w:rsid w:val="577743EB"/>
    <w:rsid w:val="57B9F54B"/>
    <w:rsid w:val="57DFFDCB"/>
    <w:rsid w:val="57E331DA"/>
    <w:rsid w:val="57F77F8A"/>
    <w:rsid w:val="57FFB277"/>
    <w:rsid w:val="57FFF0DF"/>
    <w:rsid w:val="58376253"/>
    <w:rsid w:val="58F9984F"/>
    <w:rsid w:val="590F57F3"/>
    <w:rsid w:val="591A3EA7"/>
    <w:rsid w:val="59370667"/>
    <w:rsid w:val="59517881"/>
    <w:rsid w:val="596F0F82"/>
    <w:rsid w:val="597EF3CB"/>
    <w:rsid w:val="59BFF27F"/>
    <w:rsid w:val="59D5418B"/>
    <w:rsid w:val="59FF8476"/>
    <w:rsid w:val="5A3E9E40"/>
    <w:rsid w:val="5A7F38C9"/>
    <w:rsid w:val="5AE79972"/>
    <w:rsid w:val="5AFFD215"/>
    <w:rsid w:val="5B164C1B"/>
    <w:rsid w:val="5B779745"/>
    <w:rsid w:val="5B7F0A8F"/>
    <w:rsid w:val="5B9FFF0D"/>
    <w:rsid w:val="5BABD99D"/>
    <w:rsid w:val="5BE3FB89"/>
    <w:rsid w:val="5BFB80D4"/>
    <w:rsid w:val="5BFD07C3"/>
    <w:rsid w:val="5CCF4EA9"/>
    <w:rsid w:val="5CFF10C1"/>
    <w:rsid w:val="5D3B5BED"/>
    <w:rsid w:val="5D5F46DB"/>
    <w:rsid w:val="5D7129C1"/>
    <w:rsid w:val="5DAEF515"/>
    <w:rsid w:val="5DE575DE"/>
    <w:rsid w:val="5DEF3ABD"/>
    <w:rsid w:val="5DF6EF91"/>
    <w:rsid w:val="5DFA0B78"/>
    <w:rsid w:val="5DFE7D1E"/>
    <w:rsid w:val="5DFFEC11"/>
    <w:rsid w:val="5E356FB8"/>
    <w:rsid w:val="5ECAD5C1"/>
    <w:rsid w:val="5EE996AC"/>
    <w:rsid w:val="5EEE4AD3"/>
    <w:rsid w:val="5EFD6C2A"/>
    <w:rsid w:val="5EFF9D18"/>
    <w:rsid w:val="5F277000"/>
    <w:rsid w:val="5F36EB70"/>
    <w:rsid w:val="5F556259"/>
    <w:rsid w:val="5F5ADBF0"/>
    <w:rsid w:val="5F6668FC"/>
    <w:rsid w:val="5F7F03FB"/>
    <w:rsid w:val="5F7F0844"/>
    <w:rsid w:val="5F9EBD7C"/>
    <w:rsid w:val="5F9F0E0F"/>
    <w:rsid w:val="5FA7AEA2"/>
    <w:rsid w:val="5FCE63F1"/>
    <w:rsid w:val="5FD76133"/>
    <w:rsid w:val="5FD7BE27"/>
    <w:rsid w:val="5FDA8ED7"/>
    <w:rsid w:val="5FDDDB9A"/>
    <w:rsid w:val="5FDFB93F"/>
    <w:rsid w:val="5FEC9476"/>
    <w:rsid w:val="5FEE1D93"/>
    <w:rsid w:val="5FF56D8B"/>
    <w:rsid w:val="5FF974B2"/>
    <w:rsid w:val="5FFB10F0"/>
    <w:rsid w:val="5FFB69F9"/>
    <w:rsid w:val="5FFF6E7F"/>
    <w:rsid w:val="5FFFF0AA"/>
    <w:rsid w:val="61BF5EF3"/>
    <w:rsid w:val="62FBF96C"/>
    <w:rsid w:val="63CBE1C5"/>
    <w:rsid w:val="63FFE4D9"/>
    <w:rsid w:val="644E6DE9"/>
    <w:rsid w:val="647D6E81"/>
    <w:rsid w:val="64A376FF"/>
    <w:rsid w:val="655E9BE6"/>
    <w:rsid w:val="65B5A7E4"/>
    <w:rsid w:val="666B29A4"/>
    <w:rsid w:val="66FFA724"/>
    <w:rsid w:val="67236EE5"/>
    <w:rsid w:val="677F4A42"/>
    <w:rsid w:val="678E4F7F"/>
    <w:rsid w:val="67DFD3FE"/>
    <w:rsid w:val="67FE99D4"/>
    <w:rsid w:val="67FEF281"/>
    <w:rsid w:val="67FF90CB"/>
    <w:rsid w:val="69295A3A"/>
    <w:rsid w:val="69BA33CD"/>
    <w:rsid w:val="69BFF8F0"/>
    <w:rsid w:val="6A5B6198"/>
    <w:rsid w:val="6AAFCB32"/>
    <w:rsid w:val="6BAE578E"/>
    <w:rsid w:val="6BDFABC8"/>
    <w:rsid w:val="6BF49B6D"/>
    <w:rsid w:val="6BFDAD72"/>
    <w:rsid w:val="6C7A3C5F"/>
    <w:rsid w:val="6CBF9AA2"/>
    <w:rsid w:val="6CDB2FE5"/>
    <w:rsid w:val="6CE47200"/>
    <w:rsid w:val="6D0922A9"/>
    <w:rsid w:val="6D0A0503"/>
    <w:rsid w:val="6D7FD91D"/>
    <w:rsid w:val="6DA3983E"/>
    <w:rsid w:val="6DD4DDF6"/>
    <w:rsid w:val="6DF95127"/>
    <w:rsid w:val="6DFCE999"/>
    <w:rsid w:val="6DFE1C9F"/>
    <w:rsid w:val="6DFF7169"/>
    <w:rsid w:val="6E3F33A7"/>
    <w:rsid w:val="6E999D0A"/>
    <w:rsid w:val="6EB3EACD"/>
    <w:rsid w:val="6EC780D5"/>
    <w:rsid w:val="6ECF6522"/>
    <w:rsid w:val="6EDFC209"/>
    <w:rsid w:val="6EFF6211"/>
    <w:rsid w:val="6EFFE7DE"/>
    <w:rsid w:val="6F5F823F"/>
    <w:rsid w:val="6F79A10A"/>
    <w:rsid w:val="6FADD26A"/>
    <w:rsid w:val="6FAE5865"/>
    <w:rsid w:val="6FAF66DF"/>
    <w:rsid w:val="6FB46951"/>
    <w:rsid w:val="6FB625CE"/>
    <w:rsid w:val="6FBC39F4"/>
    <w:rsid w:val="6FBC5419"/>
    <w:rsid w:val="6FBE27A8"/>
    <w:rsid w:val="6FD3480D"/>
    <w:rsid w:val="6FD757A2"/>
    <w:rsid w:val="6FDF18BB"/>
    <w:rsid w:val="6FF75860"/>
    <w:rsid w:val="6FF96762"/>
    <w:rsid w:val="6FF98BB5"/>
    <w:rsid w:val="6FFA20EB"/>
    <w:rsid w:val="6FFD847F"/>
    <w:rsid w:val="6FFDA21C"/>
    <w:rsid w:val="6FFE108E"/>
    <w:rsid w:val="6FFEC7F8"/>
    <w:rsid w:val="70D88DDE"/>
    <w:rsid w:val="70F6BD5D"/>
    <w:rsid w:val="7171BBA5"/>
    <w:rsid w:val="71969044"/>
    <w:rsid w:val="72CF7DB4"/>
    <w:rsid w:val="72FFFE1E"/>
    <w:rsid w:val="732EBA33"/>
    <w:rsid w:val="735D49B6"/>
    <w:rsid w:val="73742715"/>
    <w:rsid w:val="73781BAB"/>
    <w:rsid w:val="73EB8465"/>
    <w:rsid w:val="73F9C4A6"/>
    <w:rsid w:val="73FB0FA1"/>
    <w:rsid w:val="73FBD23A"/>
    <w:rsid w:val="73FDFF92"/>
    <w:rsid w:val="73FF75BA"/>
    <w:rsid w:val="73FFCA37"/>
    <w:rsid w:val="740926FE"/>
    <w:rsid w:val="743A02B8"/>
    <w:rsid w:val="74BFAF9A"/>
    <w:rsid w:val="74E95860"/>
    <w:rsid w:val="74EE3D16"/>
    <w:rsid w:val="75193C5D"/>
    <w:rsid w:val="75737843"/>
    <w:rsid w:val="7577E20C"/>
    <w:rsid w:val="759A2D2F"/>
    <w:rsid w:val="75AED320"/>
    <w:rsid w:val="75B8B0D2"/>
    <w:rsid w:val="75BE49E6"/>
    <w:rsid w:val="75C479AD"/>
    <w:rsid w:val="75DBE8E0"/>
    <w:rsid w:val="75DF5ED6"/>
    <w:rsid w:val="75E39439"/>
    <w:rsid w:val="75E81681"/>
    <w:rsid w:val="75F776D1"/>
    <w:rsid w:val="75FAFD7A"/>
    <w:rsid w:val="75FB4AD1"/>
    <w:rsid w:val="767A0E3C"/>
    <w:rsid w:val="767D38CE"/>
    <w:rsid w:val="767E26C5"/>
    <w:rsid w:val="76AF94CE"/>
    <w:rsid w:val="76B56D56"/>
    <w:rsid w:val="76BF8CBE"/>
    <w:rsid w:val="76C72B3D"/>
    <w:rsid w:val="76D96608"/>
    <w:rsid w:val="76DF996B"/>
    <w:rsid w:val="76E50E02"/>
    <w:rsid w:val="76F7DE00"/>
    <w:rsid w:val="76FD7C40"/>
    <w:rsid w:val="76FED311"/>
    <w:rsid w:val="772EB231"/>
    <w:rsid w:val="775F7D13"/>
    <w:rsid w:val="77672409"/>
    <w:rsid w:val="77737D40"/>
    <w:rsid w:val="77766F1C"/>
    <w:rsid w:val="777F4C17"/>
    <w:rsid w:val="7795276B"/>
    <w:rsid w:val="779F05CF"/>
    <w:rsid w:val="77A729A6"/>
    <w:rsid w:val="77B538B6"/>
    <w:rsid w:val="77BA5FB8"/>
    <w:rsid w:val="77BF95E7"/>
    <w:rsid w:val="77BFD103"/>
    <w:rsid w:val="77C6BD9A"/>
    <w:rsid w:val="77DE332B"/>
    <w:rsid w:val="77E688E8"/>
    <w:rsid w:val="77EFB7BF"/>
    <w:rsid w:val="77F50BAB"/>
    <w:rsid w:val="77F5405E"/>
    <w:rsid w:val="77F75F24"/>
    <w:rsid w:val="77F77915"/>
    <w:rsid w:val="783F7C29"/>
    <w:rsid w:val="78544B24"/>
    <w:rsid w:val="7873D3B6"/>
    <w:rsid w:val="788E1DE7"/>
    <w:rsid w:val="78BE1390"/>
    <w:rsid w:val="79751AA8"/>
    <w:rsid w:val="79FF059C"/>
    <w:rsid w:val="7A53590A"/>
    <w:rsid w:val="7A5BFCD5"/>
    <w:rsid w:val="7A5F7F69"/>
    <w:rsid w:val="7A7FC263"/>
    <w:rsid w:val="7AA73457"/>
    <w:rsid w:val="7ABAE613"/>
    <w:rsid w:val="7ABDEACE"/>
    <w:rsid w:val="7ABFDC62"/>
    <w:rsid w:val="7AEBAE38"/>
    <w:rsid w:val="7AEDE2ED"/>
    <w:rsid w:val="7AEE6353"/>
    <w:rsid w:val="7AF72B8B"/>
    <w:rsid w:val="7AFF2C47"/>
    <w:rsid w:val="7B177EF0"/>
    <w:rsid w:val="7B3F4A7D"/>
    <w:rsid w:val="7B3FCD55"/>
    <w:rsid w:val="7B65190D"/>
    <w:rsid w:val="7B7C9183"/>
    <w:rsid w:val="7B7D7866"/>
    <w:rsid w:val="7B7F761A"/>
    <w:rsid w:val="7B8F0757"/>
    <w:rsid w:val="7B9F6DEB"/>
    <w:rsid w:val="7BA34E7B"/>
    <w:rsid w:val="7BB3FE93"/>
    <w:rsid w:val="7BBF4153"/>
    <w:rsid w:val="7BD5E40A"/>
    <w:rsid w:val="7BD9D057"/>
    <w:rsid w:val="7BDC019F"/>
    <w:rsid w:val="7BEE3785"/>
    <w:rsid w:val="7BEF9623"/>
    <w:rsid w:val="7BF3B243"/>
    <w:rsid w:val="7BFADB45"/>
    <w:rsid w:val="7BFD6CD8"/>
    <w:rsid w:val="7BFE88DC"/>
    <w:rsid w:val="7BFF239F"/>
    <w:rsid w:val="7BFF5B4C"/>
    <w:rsid w:val="7BFF68BC"/>
    <w:rsid w:val="7C6960E0"/>
    <w:rsid w:val="7C930747"/>
    <w:rsid w:val="7C9D01A5"/>
    <w:rsid w:val="7CBF7FD9"/>
    <w:rsid w:val="7CDFB087"/>
    <w:rsid w:val="7CEFE4C0"/>
    <w:rsid w:val="7CF37EB4"/>
    <w:rsid w:val="7CF7A80B"/>
    <w:rsid w:val="7CF7BC2A"/>
    <w:rsid w:val="7CFB9251"/>
    <w:rsid w:val="7CFF143E"/>
    <w:rsid w:val="7CFF2EE4"/>
    <w:rsid w:val="7CFF8370"/>
    <w:rsid w:val="7CFFCF72"/>
    <w:rsid w:val="7D0EE118"/>
    <w:rsid w:val="7D6F570F"/>
    <w:rsid w:val="7D8B1C7C"/>
    <w:rsid w:val="7D950148"/>
    <w:rsid w:val="7DB7C90B"/>
    <w:rsid w:val="7DBA76D2"/>
    <w:rsid w:val="7DBF21D5"/>
    <w:rsid w:val="7DD7672C"/>
    <w:rsid w:val="7DDFF640"/>
    <w:rsid w:val="7DEB2A4B"/>
    <w:rsid w:val="7DF23F0A"/>
    <w:rsid w:val="7DFB14CA"/>
    <w:rsid w:val="7DFDA7D5"/>
    <w:rsid w:val="7DFE3FA2"/>
    <w:rsid w:val="7DFF2894"/>
    <w:rsid w:val="7E0D5897"/>
    <w:rsid w:val="7E27E16B"/>
    <w:rsid w:val="7E3F70FF"/>
    <w:rsid w:val="7E5FE1CA"/>
    <w:rsid w:val="7E6DBFD8"/>
    <w:rsid w:val="7E76E959"/>
    <w:rsid w:val="7E7A1D5A"/>
    <w:rsid w:val="7E7B4EE7"/>
    <w:rsid w:val="7E7FA02A"/>
    <w:rsid w:val="7E9E1B38"/>
    <w:rsid w:val="7E9F3B66"/>
    <w:rsid w:val="7EACB195"/>
    <w:rsid w:val="7EBD0F8D"/>
    <w:rsid w:val="7EBF0ECC"/>
    <w:rsid w:val="7EDD24D4"/>
    <w:rsid w:val="7EE778CB"/>
    <w:rsid w:val="7EE9DEEE"/>
    <w:rsid w:val="7EEFFA50"/>
    <w:rsid w:val="7EF5955A"/>
    <w:rsid w:val="7EF927D9"/>
    <w:rsid w:val="7EFB101B"/>
    <w:rsid w:val="7EFF4281"/>
    <w:rsid w:val="7EFF579A"/>
    <w:rsid w:val="7EFF8A41"/>
    <w:rsid w:val="7F16DDFA"/>
    <w:rsid w:val="7F175D9E"/>
    <w:rsid w:val="7F32955F"/>
    <w:rsid w:val="7F3D3E18"/>
    <w:rsid w:val="7F3FBC8F"/>
    <w:rsid w:val="7F5F5C70"/>
    <w:rsid w:val="7F5FCE3E"/>
    <w:rsid w:val="7F6E2985"/>
    <w:rsid w:val="7F6F0370"/>
    <w:rsid w:val="7F6F676F"/>
    <w:rsid w:val="7F7774A9"/>
    <w:rsid w:val="7F7A6771"/>
    <w:rsid w:val="7F7B8227"/>
    <w:rsid w:val="7F7DAD92"/>
    <w:rsid w:val="7F7E8D07"/>
    <w:rsid w:val="7F7EF487"/>
    <w:rsid w:val="7F7FCF1B"/>
    <w:rsid w:val="7F7FF08A"/>
    <w:rsid w:val="7F7FF0AF"/>
    <w:rsid w:val="7F8E8B75"/>
    <w:rsid w:val="7F9AF039"/>
    <w:rsid w:val="7FAB0E6A"/>
    <w:rsid w:val="7FB6F383"/>
    <w:rsid w:val="7FB7A4EF"/>
    <w:rsid w:val="7FB94578"/>
    <w:rsid w:val="7FBB7542"/>
    <w:rsid w:val="7FBE2708"/>
    <w:rsid w:val="7FBE698F"/>
    <w:rsid w:val="7FBF2BD8"/>
    <w:rsid w:val="7FBF4978"/>
    <w:rsid w:val="7FBFB9B9"/>
    <w:rsid w:val="7FCD6C22"/>
    <w:rsid w:val="7FCFA37E"/>
    <w:rsid w:val="7FCFE599"/>
    <w:rsid w:val="7FD53A33"/>
    <w:rsid w:val="7FD724F1"/>
    <w:rsid w:val="7FD9973C"/>
    <w:rsid w:val="7FDAEA3D"/>
    <w:rsid w:val="7FDD553D"/>
    <w:rsid w:val="7FDDA375"/>
    <w:rsid w:val="7FDEBAC2"/>
    <w:rsid w:val="7FDF16B3"/>
    <w:rsid w:val="7FDF616A"/>
    <w:rsid w:val="7FDF7761"/>
    <w:rsid w:val="7FDF8BAC"/>
    <w:rsid w:val="7FE7349E"/>
    <w:rsid w:val="7FE73E91"/>
    <w:rsid w:val="7FE9FDC0"/>
    <w:rsid w:val="7FEA8FA4"/>
    <w:rsid w:val="7FEB3928"/>
    <w:rsid w:val="7FEECB95"/>
    <w:rsid w:val="7FEF1962"/>
    <w:rsid w:val="7FEF329A"/>
    <w:rsid w:val="7FEF8AB6"/>
    <w:rsid w:val="7FEFD026"/>
    <w:rsid w:val="7FF54F5E"/>
    <w:rsid w:val="7FF57CBF"/>
    <w:rsid w:val="7FF5B17E"/>
    <w:rsid w:val="7FF77E83"/>
    <w:rsid w:val="7FF78DB9"/>
    <w:rsid w:val="7FF9C8FA"/>
    <w:rsid w:val="7FF9D0D9"/>
    <w:rsid w:val="7FFA4FB0"/>
    <w:rsid w:val="7FFBBCCF"/>
    <w:rsid w:val="7FFBC2A2"/>
    <w:rsid w:val="7FFBD4BD"/>
    <w:rsid w:val="7FFCFA71"/>
    <w:rsid w:val="7FFD3AED"/>
    <w:rsid w:val="7FFD4454"/>
    <w:rsid w:val="7FFE2F24"/>
    <w:rsid w:val="7FFE4CEA"/>
    <w:rsid w:val="7FFE6970"/>
    <w:rsid w:val="7FFE8D84"/>
    <w:rsid w:val="7FFF18AF"/>
    <w:rsid w:val="7FFF5E8B"/>
    <w:rsid w:val="7FFF69BF"/>
    <w:rsid w:val="7FFF8919"/>
    <w:rsid w:val="87EF6405"/>
    <w:rsid w:val="8DA49574"/>
    <w:rsid w:val="8FFB2A47"/>
    <w:rsid w:val="93B7A099"/>
    <w:rsid w:val="93F60C0C"/>
    <w:rsid w:val="94DFD969"/>
    <w:rsid w:val="96FFD65C"/>
    <w:rsid w:val="97B68DA3"/>
    <w:rsid w:val="9949E544"/>
    <w:rsid w:val="9B0A2709"/>
    <w:rsid w:val="9BCE559C"/>
    <w:rsid w:val="9BF36FE4"/>
    <w:rsid w:val="9CFCE2DE"/>
    <w:rsid w:val="9EDF29F1"/>
    <w:rsid w:val="9F4F098A"/>
    <w:rsid w:val="9F62D60D"/>
    <w:rsid w:val="9F75C41A"/>
    <w:rsid w:val="9F9BFD4C"/>
    <w:rsid w:val="9FAE0B2C"/>
    <w:rsid w:val="9FAE910E"/>
    <w:rsid w:val="9FFF2BEC"/>
    <w:rsid w:val="9FFFA10B"/>
    <w:rsid w:val="A37FCB75"/>
    <w:rsid w:val="A4FF3427"/>
    <w:rsid w:val="A5F0AE3C"/>
    <w:rsid w:val="A6AFE7B7"/>
    <w:rsid w:val="A7471633"/>
    <w:rsid w:val="A7BE8298"/>
    <w:rsid w:val="A7FFCC3E"/>
    <w:rsid w:val="A8CB6424"/>
    <w:rsid w:val="A8FF8BDE"/>
    <w:rsid w:val="A9E1EE6E"/>
    <w:rsid w:val="A9EF081D"/>
    <w:rsid w:val="A9F74DF3"/>
    <w:rsid w:val="AAF71FE7"/>
    <w:rsid w:val="AAF7A04E"/>
    <w:rsid w:val="ABACA9A4"/>
    <w:rsid w:val="ABFB3072"/>
    <w:rsid w:val="ACFF106D"/>
    <w:rsid w:val="AD6768C3"/>
    <w:rsid w:val="ADF4F45F"/>
    <w:rsid w:val="AE7FADBA"/>
    <w:rsid w:val="AEBCEABB"/>
    <w:rsid w:val="AEFF1FF4"/>
    <w:rsid w:val="AF5E2BAE"/>
    <w:rsid w:val="AF7734C3"/>
    <w:rsid w:val="AFBF9A4E"/>
    <w:rsid w:val="AFD77C44"/>
    <w:rsid w:val="AFDD8AC5"/>
    <w:rsid w:val="AFDE7A8B"/>
    <w:rsid w:val="AFDF3367"/>
    <w:rsid w:val="AFF96005"/>
    <w:rsid w:val="AFFE0BE6"/>
    <w:rsid w:val="AFFE6717"/>
    <w:rsid w:val="B1FFF159"/>
    <w:rsid w:val="B2BF42C4"/>
    <w:rsid w:val="B2FE8C5C"/>
    <w:rsid w:val="B3E3CFC8"/>
    <w:rsid w:val="B3E5F725"/>
    <w:rsid w:val="B3FCC8EA"/>
    <w:rsid w:val="B3FDEA31"/>
    <w:rsid w:val="B467D1DC"/>
    <w:rsid w:val="B4BF5A0D"/>
    <w:rsid w:val="B56B48EA"/>
    <w:rsid w:val="B5D7EAF1"/>
    <w:rsid w:val="B5D9279F"/>
    <w:rsid w:val="B6892F5D"/>
    <w:rsid w:val="B6B67635"/>
    <w:rsid w:val="B6DF3AD5"/>
    <w:rsid w:val="B6F32621"/>
    <w:rsid w:val="B6FF707B"/>
    <w:rsid w:val="B71C72AD"/>
    <w:rsid w:val="B743CEA1"/>
    <w:rsid w:val="B7DB723C"/>
    <w:rsid w:val="B7DF5ACF"/>
    <w:rsid w:val="B7F9C1CB"/>
    <w:rsid w:val="B7FC779A"/>
    <w:rsid w:val="B9E24236"/>
    <w:rsid w:val="B9FE2D33"/>
    <w:rsid w:val="BACD0EE0"/>
    <w:rsid w:val="BAEDCC50"/>
    <w:rsid w:val="BAFBD090"/>
    <w:rsid w:val="BAFEE92B"/>
    <w:rsid w:val="BAFF7CDB"/>
    <w:rsid w:val="BB2D23CC"/>
    <w:rsid w:val="BB74CC5C"/>
    <w:rsid w:val="BB7DEB66"/>
    <w:rsid w:val="BBFE9BEF"/>
    <w:rsid w:val="BBFF8684"/>
    <w:rsid w:val="BCFFE0C6"/>
    <w:rsid w:val="BD55508A"/>
    <w:rsid w:val="BD9FFA31"/>
    <w:rsid w:val="BDDD3CCD"/>
    <w:rsid w:val="BDDF655A"/>
    <w:rsid w:val="BDEF525F"/>
    <w:rsid w:val="BDFDD630"/>
    <w:rsid w:val="BE5F2408"/>
    <w:rsid w:val="BE79283F"/>
    <w:rsid w:val="BE8EFAF9"/>
    <w:rsid w:val="BE9B5750"/>
    <w:rsid w:val="BEAD4475"/>
    <w:rsid w:val="BEBF062C"/>
    <w:rsid w:val="BEEFF034"/>
    <w:rsid w:val="BEF39AFA"/>
    <w:rsid w:val="BEFB7574"/>
    <w:rsid w:val="BF2DCA9D"/>
    <w:rsid w:val="BF3527E0"/>
    <w:rsid w:val="BF37D05B"/>
    <w:rsid w:val="BF37FD3F"/>
    <w:rsid w:val="BF3E058E"/>
    <w:rsid w:val="BF571BE7"/>
    <w:rsid w:val="BF5BB084"/>
    <w:rsid w:val="BF769C48"/>
    <w:rsid w:val="BF7BC4E2"/>
    <w:rsid w:val="BF7FAA44"/>
    <w:rsid w:val="BF97C3CC"/>
    <w:rsid w:val="BF9DC8CD"/>
    <w:rsid w:val="BFBBE413"/>
    <w:rsid w:val="BFBF496A"/>
    <w:rsid w:val="BFC7FE32"/>
    <w:rsid w:val="BFCF28F4"/>
    <w:rsid w:val="BFCFC31B"/>
    <w:rsid w:val="BFD9BF50"/>
    <w:rsid w:val="BFDE15E0"/>
    <w:rsid w:val="BFDE2B79"/>
    <w:rsid w:val="BFE519B0"/>
    <w:rsid w:val="BFECE7B1"/>
    <w:rsid w:val="BFEF182B"/>
    <w:rsid w:val="BFF6B0DE"/>
    <w:rsid w:val="BFFB8560"/>
    <w:rsid w:val="BFFD671C"/>
    <w:rsid w:val="BFFE3EAE"/>
    <w:rsid w:val="BFFEDC07"/>
    <w:rsid w:val="C3B87734"/>
    <w:rsid w:val="C3DBB62F"/>
    <w:rsid w:val="C5CE9E70"/>
    <w:rsid w:val="C6AFEC9D"/>
    <w:rsid w:val="C76F3DD9"/>
    <w:rsid w:val="C921AC0D"/>
    <w:rsid w:val="C9FB471B"/>
    <w:rsid w:val="CB77BCDB"/>
    <w:rsid w:val="CBBA11CD"/>
    <w:rsid w:val="CC02475C"/>
    <w:rsid w:val="CD634EF8"/>
    <w:rsid w:val="CE7F3BFD"/>
    <w:rsid w:val="CEDB1982"/>
    <w:rsid w:val="CEE385D9"/>
    <w:rsid w:val="CEFFCFBC"/>
    <w:rsid w:val="CF35CCA2"/>
    <w:rsid w:val="CF5FCD8E"/>
    <w:rsid w:val="CFF56EB1"/>
    <w:rsid w:val="CFFD5E8E"/>
    <w:rsid w:val="D0BDFF6A"/>
    <w:rsid w:val="D26A95EB"/>
    <w:rsid w:val="D3D34F3F"/>
    <w:rsid w:val="D3F71990"/>
    <w:rsid w:val="D4DDC3C5"/>
    <w:rsid w:val="D4DEBC6D"/>
    <w:rsid w:val="D4FBF5E0"/>
    <w:rsid w:val="D4FE2C06"/>
    <w:rsid w:val="D5DF4B26"/>
    <w:rsid w:val="D5EFAAC8"/>
    <w:rsid w:val="D5F9D2D4"/>
    <w:rsid w:val="D6694ACF"/>
    <w:rsid w:val="D768C7AD"/>
    <w:rsid w:val="D79BD2A0"/>
    <w:rsid w:val="D7DDC16E"/>
    <w:rsid w:val="D7FF9201"/>
    <w:rsid w:val="D7FFCAAF"/>
    <w:rsid w:val="D7FFEE41"/>
    <w:rsid w:val="D943F30E"/>
    <w:rsid w:val="D9C5B26C"/>
    <w:rsid w:val="D9EB277E"/>
    <w:rsid w:val="D9F9C9BF"/>
    <w:rsid w:val="D9FE5F23"/>
    <w:rsid w:val="DA7DD684"/>
    <w:rsid w:val="DAAFFB11"/>
    <w:rsid w:val="DABDFDFF"/>
    <w:rsid w:val="DB3D8E4E"/>
    <w:rsid w:val="DB5FD6B6"/>
    <w:rsid w:val="DB9B7A71"/>
    <w:rsid w:val="DBDF1EC2"/>
    <w:rsid w:val="DBFD2789"/>
    <w:rsid w:val="DBFFA1A1"/>
    <w:rsid w:val="DC3B827A"/>
    <w:rsid w:val="DC7F73CE"/>
    <w:rsid w:val="DCFB3FEB"/>
    <w:rsid w:val="DDA3A167"/>
    <w:rsid w:val="DDB86423"/>
    <w:rsid w:val="DDED22DD"/>
    <w:rsid w:val="DDEF7481"/>
    <w:rsid w:val="DDFB27EB"/>
    <w:rsid w:val="DDFF0FDE"/>
    <w:rsid w:val="DDFFBD0D"/>
    <w:rsid w:val="DE573650"/>
    <w:rsid w:val="DE5FC5A9"/>
    <w:rsid w:val="DEE3E4B6"/>
    <w:rsid w:val="DEFE2D27"/>
    <w:rsid w:val="DEFE3B73"/>
    <w:rsid w:val="DEFFA8BF"/>
    <w:rsid w:val="DEFFBA80"/>
    <w:rsid w:val="DF3672DB"/>
    <w:rsid w:val="DF3D988F"/>
    <w:rsid w:val="DF52DDC3"/>
    <w:rsid w:val="DF6E0160"/>
    <w:rsid w:val="DF7FC811"/>
    <w:rsid w:val="DF979B24"/>
    <w:rsid w:val="DFA73DE2"/>
    <w:rsid w:val="DFBF2FF2"/>
    <w:rsid w:val="DFC5EE40"/>
    <w:rsid w:val="DFC72F90"/>
    <w:rsid w:val="DFD7D15F"/>
    <w:rsid w:val="DFD9154D"/>
    <w:rsid w:val="DFDD7E8A"/>
    <w:rsid w:val="DFDE7B24"/>
    <w:rsid w:val="DFDFA0DB"/>
    <w:rsid w:val="DFE52DC7"/>
    <w:rsid w:val="DFE9145C"/>
    <w:rsid w:val="DFEB28B5"/>
    <w:rsid w:val="DFEC0D4A"/>
    <w:rsid w:val="DFF7A855"/>
    <w:rsid w:val="DFFA7D46"/>
    <w:rsid w:val="DFFAEE86"/>
    <w:rsid w:val="DFFB5459"/>
    <w:rsid w:val="DFFD1C45"/>
    <w:rsid w:val="DFFD960E"/>
    <w:rsid w:val="DFFDA2F6"/>
    <w:rsid w:val="DFFF71DB"/>
    <w:rsid w:val="DFFF7F86"/>
    <w:rsid w:val="DFFFD246"/>
    <w:rsid w:val="E1DF90E9"/>
    <w:rsid w:val="E1FEA0FB"/>
    <w:rsid w:val="E3677922"/>
    <w:rsid w:val="E3BD3210"/>
    <w:rsid w:val="E3EE2432"/>
    <w:rsid w:val="E3FB05B2"/>
    <w:rsid w:val="E3FFD6AF"/>
    <w:rsid w:val="E4FD948A"/>
    <w:rsid w:val="E5554C74"/>
    <w:rsid w:val="E5CB8DAC"/>
    <w:rsid w:val="E5DF117D"/>
    <w:rsid w:val="E6BF280C"/>
    <w:rsid w:val="E6F18D1D"/>
    <w:rsid w:val="E76F86E3"/>
    <w:rsid w:val="E79FD7C8"/>
    <w:rsid w:val="E7B761B5"/>
    <w:rsid w:val="E7BFA3B0"/>
    <w:rsid w:val="E7DF8ECD"/>
    <w:rsid w:val="E7EBF4D4"/>
    <w:rsid w:val="E7EF29CF"/>
    <w:rsid w:val="E7F58811"/>
    <w:rsid w:val="E7FBBF4C"/>
    <w:rsid w:val="E834CF6E"/>
    <w:rsid w:val="E8CFD8F9"/>
    <w:rsid w:val="E8DF8938"/>
    <w:rsid w:val="E9FD5BC8"/>
    <w:rsid w:val="E9FF802C"/>
    <w:rsid w:val="EAD37B9F"/>
    <w:rsid w:val="EAEF33BC"/>
    <w:rsid w:val="EAFEFD01"/>
    <w:rsid w:val="EB3BC602"/>
    <w:rsid w:val="EB66B298"/>
    <w:rsid w:val="EB76E5DD"/>
    <w:rsid w:val="EBCFC54B"/>
    <w:rsid w:val="EBD79042"/>
    <w:rsid w:val="EBEF2964"/>
    <w:rsid w:val="EBFB650F"/>
    <w:rsid w:val="EBFB8DB5"/>
    <w:rsid w:val="EBFE51DD"/>
    <w:rsid w:val="EC4E7A1B"/>
    <w:rsid w:val="EC747027"/>
    <w:rsid w:val="EDBC57DD"/>
    <w:rsid w:val="EDC71823"/>
    <w:rsid w:val="EDCE0924"/>
    <w:rsid w:val="EDEA5594"/>
    <w:rsid w:val="EDF3EF89"/>
    <w:rsid w:val="EDF792CB"/>
    <w:rsid w:val="EDFF265B"/>
    <w:rsid w:val="EE7F953E"/>
    <w:rsid w:val="EEBEF620"/>
    <w:rsid w:val="EEBF0548"/>
    <w:rsid w:val="EEBFFFA6"/>
    <w:rsid w:val="EEFF00F4"/>
    <w:rsid w:val="EF2ED747"/>
    <w:rsid w:val="EF35CEF1"/>
    <w:rsid w:val="EF37C291"/>
    <w:rsid w:val="EF4724B3"/>
    <w:rsid w:val="EF4EBADD"/>
    <w:rsid w:val="EF7F8C80"/>
    <w:rsid w:val="EF7FAB6F"/>
    <w:rsid w:val="EF936120"/>
    <w:rsid w:val="EF9DB597"/>
    <w:rsid w:val="EFDA5985"/>
    <w:rsid w:val="EFDD1485"/>
    <w:rsid w:val="EFDFD36F"/>
    <w:rsid w:val="EFFB834F"/>
    <w:rsid w:val="EFFB8DAA"/>
    <w:rsid w:val="EFFC4883"/>
    <w:rsid w:val="EFFF765C"/>
    <w:rsid w:val="EFFF9843"/>
    <w:rsid w:val="EFFF98CF"/>
    <w:rsid w:val="F19FCA89"/>
    <w:rsid w:val="F1BD5DA1"/>
    <w:rsid w:val="F2EF1079"/>
    <w:rsid w:val="F2FF0E58"/>
    <w:rsid w:val="F2FF31E2"/>
    <w:rsid w:val="F2FF8CAC"/>
    <w:rsid w:val="F356A03A"/>
    <w:rsid w:val="F3CFB474"/>
    <w:rsid w:val="F3E78222"/>
    <w:rsid w:val="F3EE3DAB"/>
    <w:rsid w:val="F3FF35BC"/>
    <w:rsid w:val="F3FF7CD1"/>
    <w:rsid w:val="F43D96FB"/>
    <w:rsid w:val="F4B5EF24"/>
    <w:rsid w:val="F4DB78EF"/>
    <w:rsid w:val="F4FDDFCC"/>
    <w:rsid w:val="F56E79FA"/>
    <w:rsid w:val="F57C0C59"/>
    <w:rsid w:val="F57C3B7C"/>
    <w:rsid w:val="F57EBFAF"/>
    <w:rsid w:val="F57F12CE"/>
    <w:rsid w:val="F57FE2EF"/>
    <w:rsid w:val="F5AD2489"/>
    <w:rsid w:val="F5BF29EC"/>
    <w:rsid w:val="F5BF9102"/>
    <w:rsid w:val="F5D7E328"/>
    <w:rsid w:val="F5DF789F"/>
    <w:rsid w:val="F5EFD438"/>
    <w:rsid w:val="F5F731A5"/>
    <w:rsid w:val="F5FFDFDB"/>
    <w:rsid w:val="F66EC9AC"/>
    <w:rsid w:val="F67FE538"/>
    <w:rsid w:val="F6AD9558"/>
    <w:rsid w:val="F6B79065"/>
    <w:rsid w:val="F6B87CBF"/>
    <w:rsid w:val="F6BFA919"/>
    <w:rsid w:val="F6CB2636"/>
    <w:rsid w:val="F6DEE176"/>
    <w:rsid w:val="F6F7413A"/>
    <w:rsid w:val="F6FF32A2"/>
    <w:rsid w:val="F6FF3912"/>
    <w:rsid w:val="F72F74CC"/>
    <w:rsid w:val="F75D4283"/>
    <w:rsid w:val="F76D68FD"/>
    <w:rsid w:val="F77F079A"/>
    <w:rsid w:val="F7978254"/>
    <w:rsid w:val="F7A222A4"/>
    <w:rsid w:val="F7A79683"/>
    <w:rsid w:val="F7ABD443"/>
    <w:rsid w:val="F7AF4E7B"/>
    <w:rsid w:val="F7BC5231"/>
    <w:rsid w:val="F7C5A94F"/>
    <w:rsid w:val="F7DA4A57"/>
    <w:rsid w:val="F7EA2BB2"/>
    <w:rsid w:val="F7EB3EA2"/>
    <w:rsid w:val="F7EFAE71"/>
    <w:rsid w:val="F7F14D84"/>
    <w:rsid w:val="F7F6C3E1"/>
    <w:rsid w:val="F7FB4A24"/>
    <w:rsid w:val="F7FBDFEE"/>
    <w:rsid w:val="F7FD441E"/>
    <w:rsid w:val="F7FD6CBC"/>
    <w:rsid w:val="F7FD747C"/>
    <w:rsid w:val="F8671F72"/>
    <w:rsid w:val="F8E377AB"/>
    <w:rsid w:val="F8EF9545"/>
    <w:rsid w:val="F8F7A2B8"/>
    <w:rsid w:val="F97B9F8E"/>
    <w:rsid w:val="F97D8E07"/>
    <w:rsid w:val="F9CEBBBC"/>
    <w:rsid w:val="F9D72FB0"/>
    <w:rsid w:val="F9D7C691"/>
    <w:rsid w:val="F9F1F1C5"/>
    <w:rsid w:val="F9F531D3"/>
    <w:rsid w:val="F9F79246"/>
    <w:rsid w:val="F9FC2629"/>
    <w:rsid w:val="F9FF8195"/>
    <w:rsid w:val="FA696ADE"/>
    <w:rsid w:val="FA7F6F8E"/>
    <w:rsid w:val="FAAF1AD4"/>
    <w:rsid w:val="FADB4287"/>
    <w:rsid w:val="FAE6ED3D"/>
    <w:rsid w:val="FAFC30A3"/>
    <w:rsid w:val="FAFEB340"/>
    <w:rsid w:val="FAFED471"/>
    <w:rsid w:val="FAFEFD9B"/>
    <w:rsid w:val="FB0DB923"/>
    <w:rsid w:val="FB3F1778"/>
    <w:rsid w:val="FB3F947A"/>
    <w:rsid w:val="FB6C3D58"/>
    <w:rsid w:val="FB77915B"/>
    <w:rsid w:val="FB7F680A"/>
    <w:rsid w:val="FB7F7001"/>
    <w:rsid w:val="FB82A3A1"/>
    <w:rsid w:val="FBBB49A8"/>
    <w:rsid w:val="FBBD7E93"/>
    <w:rsid w:val="FBBFB6B0"/>
    <w:rsid w:val="FBE6A426"/>
    <w:rsid w:val="FBE7CABF"/>
    <w:rsid w:val="FBEF402D"/>
    <w:rsid w:val="FBF7BDD4"/>
    <w:rsid w:val="FBFDD327"/>
    <w:rsid w:val="FBFDF6A5"/>
    <w:rsid w:val="FBFF79E5"/>
    <w:rsid w:val="FC4CBDCB"/>
    <w:rsid w:val="FCAF7045"/>
    <w:rsid w:val="FCBBD3E3"/>
    <w:rsid w:val="FCBDDECA"/>
    <w:rsid w:val="FCCF313E"/>
    <w:rsid w:val="FCD7595F"/>
    <w:rsid w:val="FCDFD18D"/>
    <w:rsid w:val="FCFE42FF"/>
    <w:rsid w:val="FCFF39FA"/>
    <w:rsid w:val="FD3E125D"/>
    <w:rsid w:val="FD3FA77B"/>
    <w:rsid w:val="FD5F9682"/>
    <w:rsid w:val="FD679FB6"/>
    <w:rsid w:val="FD6FF9C3"/>
    <w:rsid w:val="FD7BF450"/>
    <w:rsid w:val="FD7F5E0E"/>
    <w:rsid w:val="FDAA1F65"/>
    <w:rsid w:val="FDBA5E20"/>
    <w:rsid w:val="FDBE12DE"/>
    <w:rsid w:val="FDBE8E09"/>
    <w:rsid w:val="FDD52886"/>
    <w:rsid w:val="FDD6862C"/>
    <w:rsid w:val="FDDD7C93"/>
    <w:rsid w:val="FDE322D5"/>
    <w:rsid w:val="FDE61F99"/>
    <w:rsid w:val="FDF0F35A"/>
    <w:rsid w:val="FDF30CA8"/>
    <w:rsid w:val="FDFB4BB2"/>
    <w:rsid w:val="FDFCADE8"/>
    <w:rsid w:val="FDFE2FDD"/>
    <w:rsid w:val="FDFF8F6E"/>
    <w:rsid w:val="FE237247"/>
    <w:rsid w:val="FE57D55D"/>
    <w:rsid w:val="FE5E9D50"/>
    <w:rsid w:val="FE5F9D9C"/>
    <w:rsid w:val="FE6E8EC1"/>
    <w:rsid w:val="FE6F5715"/>
    <w:rsid w:val="FE6F6727"/>
    <w:rsid w:val="FE7727CC"/>
    <w:rsid w:val="FE7E3CB7"/>
    <w:rsid w:val="FE7EE74E"/>
    <w:rsid w:val="FEA7ACD2"/>
    <w:rsid w:val="FEBAFC94"/>
    <w:rsid w:val="FEBDB354"/>
    <w:rsid w:val="FED2B98F"/>
    <w:rsid w:val="FEDE8533"/>
    <w:rsid w:val="FEEFF791"/>
    <w:rsid w:val="FEF79AF7"/>
    <w:rsid w:val="FEF9724C"/>
    <w:rsid w:val="FEFE094F"/>
    <w:rsid w:val="FEFE2A48"/>
    <w:rsid w:val="FEFF5CFD"/>
    <w:rsid w:val="FEFFB389"/>
    <w:rsid w:val="FF17F6F4"/>
    <w:rsid w:val="FF1F9C9A"/>
    <w:rsid w:val="FF290980"/>
    <w:rsid w:val="FF2D78E0"/>
    <w:rsid w:val="FF3DEA79"/>
    <w:rsid w:val="FF3F4864"/>
    <w:rsid w:val="FF3F8BCB"/>
    <w:rsid w:val="FF4636CA"/>
    <w:rsid w:val="FF52632A"/>
    <w:rsid w:val="FF6F848F"/>
    <w:rsid w:val="FF6F8C81"/>
    <w:rsid w:val="FF6FA749"/>
    <w:rsid w:val="FF754373"/>
    <w:rsid w:val="FF76BA8B"/>
    <w:rsid w:val="FF77DF7F"/>
    <w:rsid w:val="FF78F20B"/>
    <w:rsid w:val="FF7D46D9"/>
    <w:rsid w:val="FF7D9309"/>
    <w:rsid w:val="FF7EB436"/>
    <w:rsid w:val="FF7F06AA"/>
    <w:rsid w:val="FF7F9A73"/>
    <w:rsid w:val="FF947030"/>
    <w:rsid w:val="FF9E9D6E"/>
    <w:rsid w:val="FF9F3B27"/>
    <w:rsid w:val="FFA71A96"/>
    <w:rsid w:val="FFAC79B7"/>
    <w:rsid w:val="FFAED346"/>
    <w:rsid w:val="FFB34106"/>
    <w:rsid w:val="FFB3B747"/>
    <w:rsid w:val="FFB59412"/>
    <w:rsid w:val="FFB61A8B"/>
    <w:rsid w:val="FFBB7BC7"/>
    <w:rsid w:val="FFBD2E3C"/>
    <w:rsid w:val="FFBF14A1"/>
    <w:rsid w:val="FFBF7104"/>
    <w:rsid w:val="FFBFBECC"/>
    <w:rsid w:val="FFBFBFF0"/>
    <w:rsid w:val="FFC733DC"/>
    <w:rsid w:val="FFC74F2B"/>
    <w:rsid w:val="FFCB3BEE"/>
    <w:rsid w:val="FFCDF53B"/>
    <w:rsid w:val="FFD0EAFD"/>
    <w:rsid w:val="FFD4A268"/>
    <w:rsid w:val="FFD67074"/>
    <w:rsid w:val="FFD749F0"/>
    <w:rsid w:val="FFD7B6A4"/>
    <w:rsid w:val="FFDAF0EB"/>
    <w:rsid w:val="FFDBCCDC"/>
    <w:rsid w:val="FFDD5697"/>
    <w:rsid w:val="FFDE418D"/>
    <w:rsid w:val="FFDEE716"/>
    <w:rsid w:val="FFDEFBF9"/>
    <w:rsid w:val="FFDF64CB"/>
    <w:rsid w:val="FFDF863E"/>
    <w:rsid w:val="FFDFA626"/>
    <w:rsid w:val="FFDFB031"/>
    <w:rsid w:val="FFE37C47"/>
    <w:rsid w:val="FFE79331"/>
    <w:rsid w:val="FFEBEB8E"/>
    <w:rsid w:val="FFEE6D4D"/>
    <w:rsid w:val="FFEEBB73"/>
    <w:rsid w:val="FFEF39FB"/>
    <w:rsid w:val="FFEF64FA"/>
    <w:rsid w:val="FFEF87F1"/>
    <w:rsid w:val="FFF7A95C"/>
    <w:rsid w:val="FFF93D5D"/>
    <w:rsid w:val="FFFCA094"/>
    <w:rsid w:val="FFFD18DB"/>
    <w:rsid w:val="FFFD8D93"/>
    <w:rsid w:val="FFFDE576"/>
    <w:rsid w:val="FFFEED20"/>
    <w:rsid w:val="FFFF0AB1"/>
    <w:rsid w:val="FFFF25E8"/>
    <w:rsid w:val="FFFF97E4"/>
    <w:rsid w:val="FFFFAA7C"/>
    <w:rsid w:val="FFFFCB8C"/>
    <w:rsid w:val="FFFFD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ind w:firstLine="200" w:firstLineChars="200"/>
      <w:jc w:val="both"/>
    </w:pPr>
    <w:rPr>
      <w:rFonts w:ascii="仿宋" w:hAnsi="仿宋" w:eastAsia="仿宋" w:cs="Times New Roman (正文 CS 字体)"/>
      <w:kern w:val="2"/>
      <w:sz w:val="21"/>
      <w:szCs w:val="24"/>
      <w:lang w:val="en-US" w:eastAsia="zh-CN" w:bidi="ar-SA"/>
    </w:rPr>
  </w:style>
  <w:style w:type="paragraph" w:styleId="3">
    <w:name w:val="heading 1"/>
    <w:basedOn w:val="1"/>
    <w:next w:val="1"/>
    <w:link w:val="35"/>
    <w:qFormat/>
    <w:uiPriority w:val="9"/>
    <w:pPr>
      <w:ind w:firstLine="440"/>
      <w:jc w:val="left"/>
      <w:outlineLvl w:val="0"/>
    </w:pPr>
    <w:rPr>
      <w:rFonts w:ascii="黑体" w:hAnsi="黑体" w:eastAsia="黑体" w:cs="微软雅黑"/>
      <w:bCs/>
      <w:kern w:val="44"/>
      <w:sz w:val="22"/>
      <w:szCs w:val="22"/>
    </w:rPr>
  </w:style>
  <w:style w:type="paragraph" w:styleId="4">
    <w:name w:val="heading 2"/>
    <w:basedOn w:val="1"/>
    <w:next w:val="1"/>
    <w:link w:val="34"/>
    <w:unhideWhenUsed/>
    <w:qFormat/>
    <w:uiPriority w:val="9"/>
    <w:pPr>
      <w:jc w:val="left"/>
      <w:outlineLvl w:val="1"/>
    </w:pPr>
    <w:rPr>
      <w:rFonts w:eastAsia="楷体" w:asciiTheme="majorHAnsi" w:hAnsiTheme="majorHAnsi" w:cstheme="majorBidi"/>
      <w:bCs/>
      <w:szCs w:val="32"/>
    </w:rPr>
  </w:style>
  <w:style w:type="paragraph" w:styleId="5">
    <w:name w:val="heading 3"/>
    <w:basedOn w:val="1"/>
    <w:next w:val="1"/>
    <w:link w:val="45"/>
    <w:semiHidden/>
    <w:unhideWhenUsed/>
    <w:qFormat/>
    <w:uiPriority w:val="9"/>
    <w:pPr>
      <w:keepNext/>
      <w:keepLines/>
      <w:spacing w:before="260" w:after="260" w:line="416" w:lineRule="auto"/>
      <w:outlineLvl w:val="2"/>
    </w:pPr>
    <w:rPr>
      <w:b/>
      <w:bCs/>
      <w:szCs w:val="32"/>
    </w:rPr>
  </w:style>
  <w:style w:type="paragraph" w:styleId="6">
    <w:name w:val="heading 4"/>
    <w:basedOn w:val="1"/>
    <w:next w:val="1"/>
    <w:link w:val="50"/>
    <w:semiHidden/>
    <w:unhideWhenUsed/>
    <w:qFormat/>
    <w:uiPriority w:val="9"/>
    <w:pPr>
      <w:keepNext/>
      <w:keepLines/>
      <w:spacing w:before="80" w:after="40"/>
      <w:ind w:firstLine="0" w:firstLineChars="0"/>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7">
    <w:name w:val="heading 5"/>
    <w:basedOn w:val="1"/>
    <w:next w:val="1"/>
    <w:link w:val="51"/>
    <w:semiHidden/>
    <w:unhideWhenUsed/>
    <w:qFormat/>
    <w:uiPriority w:val="9"/>
    <w:pPr>
      <w:keepNext/>
      <w:keepLines/>
      <w:spacing w:before="80" w:after="40"/>
      <w:ind w:firstLine="0" w:firstLineChars="0"/>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8">
    <w:name w:val="heading 6"/>
    <w:basedOn w:val="1"/>
    <w:next w:val="1"/>
    <w:link w:val="52"/>
    <w:semiHidden/>
    <w:unhideWhenUsed/>
    <w:qFormat/>
    <w:uiPriority w:val="9"/>
    <w:pPr>
      <w:keepNext/>
      <w:keepLines/>
      <w:spacing w:before="40"/>
      <w:ind w:firstLine="0" w:firstLineChars="0"/>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9">
    <w:name w:val="heading 7"/>
    <w:basedOn w:val="1"/>
    <w:next w:val="1"/>
    <w:link w:val="53"/>
    <w:semiHidden/>
    <w:unhideWhenUsed/>
    <w:qFormat/>
    <w:uiPriority w:val="9"/>
    <w:pPr>
      <w:keepNext/>
      <w:keepLines/>
      <w:spacing w:before="40"/>
      <w:ind w:firstLine="0" w:firstLineChars="0"/>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54"/>
    <w:semiHidden/>
    <w:unhideWhenUsed/>
    <w:qFormat/>
    <w:uiPriority w:val="9"/>
    <w:pPr>
      <w:keepNext/>
      <w:keepLines/>
      <w:ind w:firstLine="0" w:firstLineChars="0"/>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55"/>
    <w:semiHidden/>
    <w:unhideWhenUsed/>
    <w:qFormat/>
    <w:uiPriority w:val="9"/>
    <w:pPr>
      <w:keepNext/>
      <w:keepLines/>
      <w:ind w:firstLine="0" w:firstLineChars="0"/>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pPr>
      <w:widowControl w:val="0"/>
      <w:overflowPunct w:val="0"/>
      <w:topLinePunct/>
      <w:spacing w:line="240" w:lineRule="auto"/>
      <w:jc w:val="both"/>
    </w:pPr>
    <w:rPr>
      <w:rFonts w:ascii="宋体" w:hAnsi="Courier New" w:eastAsia="仿宋_GB2312" w:cs="宋体"/>
      <w:spacing w:val="0"/>
      <w:kern w:val="2"/>
      <w:sz w:val="21"/>
      <w:szCs w:val="21"/>
      <w:lang w:val="en-US" w:eastAsia="zh-CN" w:bidi="ar-SA"/>
    </w:rPr>
  </w:style>
  <w:style w:type="paragraph" w:styleId="12">
    <w:name w:val="annotation text"/>
    <w:basedOn w:val="1"/>
    <w:link w:val="66"/>
    <w:unhideWhenUsed/>
    <w:qFormat/>
    <w:uiPriority w:val="99"/>
    <w:pPr>
      <w:jc w:val="left"/>
    </w:pPr>
  </w:style>
  <w:style w:type="paragraph" w:styleId="13">
    <w:name w:val="toc 3"/>
    <w:basedOn w:val="1"/>
    <w:next w:val="1"/>
    <w:semiHidden/>
    <w:unhideWhenUsed/>
    <w:qFormat/>
    <w:uiPriority w:val="39"/>
    <w:pPr>
      <w:ind w:left="840" w:leftChars="400"/>
    </w:pPr>
  </w:style>
  <w:style w:type="paragraph" w:styleId="14">
    <w:name w:val="Balloon Text"/>
    <w:basedOn w:val="1"/>
    <w:link w:val="36"/>
    <w:semiHidden/>
    <w:unhideWhenUsed/>
    <w:qFormat/>
    <w:uiPriority w:val="99"/>
    <w:rPr>
      <w:rFonts w:ascii="宋体" w:eastAsia="宋体"/>
      <w:sz w:val="18"/>
      <w:szCs w:val="18"/>
    </w:rPr>
  </w:style>
  <w:style w:type="paragraph" w:styleId="15">
    <w:name w:val="footer"/>
    <w:basedOn w:val="1"/>
    <w:link w:val="41"/>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link w:val="5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9">
    <w:name w:val="footnote text"/>
    <w:basedOn w:val="1"/>
    <w:link w:val="37"/>
    <w:unhideWhenUsed/>
    <w:qFormat/>
    <w:uiPriority w:val="0"/>
    <w:pPr>
      <w:ind w:firstLine="0" w:firstLineChars="0"/>
    </w:pPr>
    <w:rPr>
      <w:rFonts w:cs="微软雅黑"/>
      <w:sz w:val="18"/>
    </w:rPr>
  </w:style>
  <w:style w:type="paragraph" w:styleId="20">
    <w:name w:val="toc 2"/>
    <w:basedOn w:val="1"/>
    <w:next w:val="1"/>
    <w:semiHidden/>
    <w:unhideWhenUsed/>
    <w:qFormat/>
    <w:uiPriority w:val="39"/>
    <w:pPr>
      <w:ind w:left="420" w:leftChars="200"/>
    </w:pPr>
  </w:style>
  <w:style w:type="paragraph" w:styleId="21">
    <w:name w:val="Normal (Web)"/>
    <w:basedOn w:val="1"/>
    <w:semiHidden/>
    <w:unhideWhenUsed/>
    <w:qFormat/>
    <w:uiPriority w:val="99"/>
    <w:pPr>
      <w:spacing w:beforeAutospacing="1" w:after="0" w:afterAutospacing="1"/>
      <w:jc w:val="left"/>
    </w:pPr>
    <w:rPr>
      <w:rFonts w:cs="Times New Roman"/>
      <w:kern w:val="0"/>
      <w:sz w:val="24"/>
    </w:rPr>
  </w:style>
  <w:style w:type="paragraph" w:styleId="22">
    <w:name w:val="Title"/>
    <w:basedOn w:val="1"/>
    <w:next w:val="1"/>
    <w:link w:val="33"/>
    <w:qFormat/>
    <w:uiPriority w:val="10"/>
    <w:pPr>
      <w:ind w:firstLine="0" w:firstLineChars="0"/>
      <w:jc w:val="center"/>
    </w:pPr>
    <w:rPr>
      <w:rFonts w:cs="方正小标宋"/>
      <w:b/>
      <w:bCs/>
      <w:sz w:val="28"/>
      <w:szCs w:val="28"/>
    </w:rPr>
  </w:style>
  <w:style w:type="paragraph" w:styleId="23">
    <w:name w:val="annotation subject"/>
    <w:basedOn w:val="12"/>
    <w:next w:val="12"/>
    <w:link w:val="67"/>
    <w:semiHidden/>
    <w:unhideWhenUsed/>
    <w:qFormat/>
    <w:uiPriority w:val="99"/>
    <w:rPr>
      <w:b/>
      <w:bCs/>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semiHidden/>
    <w:unhideWhenUsed/>
    <w:qFormat/>
    <w:uiPriority w:val="99"/>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6"/>
    <w:unhideWhenUsed/>
    <w:qFormat/>
    <w:uiPriority w:val="99"/>
    <w:rPr>
      <w:color w:val="0563C1" w:themeColor="hyperlink"/>
      <w:u w:val="single"/>
      <w14:textFill>
        <w14:solidFill>
          <w14:schemeClr w14:val="hlink"/>
        </w14:solidFill>
      </w14:textFill>
    </w:rPr>
  </w:style>
  <w:style w:type="character" w:styleId="31">
    <w:name w:val="annotation reference"/>
    <w:basedOn w:val="26"/>
    <w:semiHidden/>
    <w:unhideWhenUsed/>
    <w:qFormat/>
    <w:uiPriority w:val="99"/>
    <w:rPr>
      <w:sz w:val="21"/>
      <w:szCs w:val="21"/>
    </w:rPr>
  </w:style>
  <w:style w:type="character" w:styleId="32">
    <w:name w:val="footnote reference"/>
    <w:basedOn w:val="26"/>
    <w:unhideWhenUsed/>
    <w:qFormat/>
    <w:uiPriority w:val="0"/>
    <w:rPr>
      <w:vertAlign w:val="superscript"/>
    </w:rPr>
  </w:style>
  <w:style w:type="character" w:customStyle="1" w:styleId="33">
    <w:name w:val="标题 字符"/>
    <w:basedOn w:val="26"/>
    <w:link w:val="22"/>
    <w:qFormat/>
    <w:uiPriority w:val="10"/>
    <w:rPr>
      <w:rFonts w:ascii="仿宋" w:hAnsi="仿宋" w:eastAsia="仿宋" w:cs="方正小标宋"/>
      <w:b/>
      <w:bCs/>
      <w:kern w:val="2"/>
      <w:sz w:val="28"/>
      <w:szCs w:val="28"/>
    </w:rPr>
  </w:style>
  <w:style w:type="character" w:customStyle="1" w:styleId="34">
    <w:name w:val="标题 2 字符"/>
    <w:basedOn w:val="26"/>
    <w:link w:val="4"/>
    <w:qFormat/>
    <w:uiPriority w:val="9"/>
    <w:rPr>
      <w:rFonts w:eastAsia="楷体" w:asciiTheme="majorHAnsi" w:hAnsiTheme="majorHAnsi" w:cstheme="majorBidi"/>
      <w:bCs/>
      <w:kern w:val="2"/>
      <w:sz w:val="32"/>
      <w:szCs w:val="32"/>
    </w:rPr>
  </w:style>
  <w:style w:type="character" w:customStyle="1" w:styleId="35">
    <w:name w:val="标题 1 字符"/>
    <w:basedOn w:val="26"/>
    <w:link w:val="3"/>
    <w:qFormat/>
    <w:uiPriority w:val="9"/>
    <w:rPr>
      <w:rFonts w:ascii="黑体" w:hAnsi="黑体" w:eastAsia="黑体" w:cs="微软雅黑"/>
      <w:bCs/>
      <w:kern w:val="44"/>
      <w:sz w:val="22"/>
      <w:szCs w:val="22"/>
    </w:rPr>
  </w:style>
  <w:style w:type="character" w:customStyle="1" w:styleId="36">
    <w:name w:val="批注框文本 字符"/>
    <w:basedOn w:val="26"/>
    <w:link w:val="14"/>
    <w:semiHidden/>
    <w:qFormat/>
    <w:uiPriority w:val="99"/>
    <w:rPr>
      <w:rFonts w:ascii="宋体" w:hAnsi="Times New Roman" w:eastAsia="宋体" w:cs="Times New Roman (正文 CS 字体)"/>
      <w:sz w:val="18"/>
      <w:szCs w:val="18"/>
    </w:rPr>
  </w:style>
  <w:style w:type="character" w:customStyle="1" w:styleId="37">
    <w:name w:val="脚注文本 字符"/>
    <w:basedOn w:val="26"/>
    <w:link w:val="19"/>
    <w:qFormat/>
    <w:uiPriority w:val="99"/>
    <w:rPr>
      <w:rFonts w:ascii="Times New Roman" w:hAnsi="Times New Roman" w:eastAsia="SimSun-ExtB" w:cs="微软雅黑"/>
      <w:sz w:val="18"/>
    </w:rPr>
  </w:style>
  <w:style w:type="paragraph" w:styleId="38">
    <w:name w:val="List Paragraph"/>
    <w:basedOn w:val="1"/>
    <w:qFormat/>
    <w:uiPriority w:val="34"/>
    <w:pPr>
      <w:ind w:firstLine="420"/>
    </w:pPr>
  </w:style>
  <w:style w:type="character" w:customStyle="1" w:styleId="39">
    <w:name w:val="未处理的提及1"/>
    <w:basedOn w:val="26"/>
    <w:semiHidden/>
    <w:unhideWhenUsed/>
    <w:qFormat/>
    <w:uiPriority w:val="99"/>
    <w:rPr>
      <w:color w:val="605E5C"/>
      <w:shd w:val="clear" w:color="auto" w:fill="E1DFDD"/>
    </w:rPr>
  </w:style>
  <w:style w:type="character" w:customStyle="1" w:styleId="40">
    <w:name w:val="页眉 字符"/>
    <w:basedOn w:val="26"/>
    <w:link w:val="16"/>
    <w:qFormat/>
    <w:uiPriority w:val="99"/>
    <w:rPr>
      <w:rFonts w:ascii="Times New Roman" w:hAnsi="Times New Roman" w:eastAsia="仿宋" w:cs="Times New Roman (正文 CS 字体)"/>
      <w:kern w:val="2"/>
      <w:sz w:val="18"/>
      <w:szCs w:val="18"/>
    </w:rPr>
  </w:style>
  <w:style w:type="character" w:customStyle="1" w:styleId="41">
    <w:name w:val="页脚 字符"/>
    <w:basedOn w:val="26"/>
    <w:link w:val="15"/>
    <w:qFormat/>
    <w:uiPriority w:val="99"/>
    <w:rPr>
      <w:rFonts w:ascii="Times New Roman" w:hAnsi="Times New Roman" w:eastAsia="仿宋" w:cs="Times New Roman (正文 CS 字体)"/>
      <w:kern w:val="2"/>
      <w:sz w:val="18"/>
      <w:szCs w:val="18"/>
    </w:rPr>
  </w:style>
  <w:style w:type="paragraph" w:customStyle="1" w:styleId="42">
    <w:name w:val="标题3"/>
    <w:basedOn w:val="5"/>
    <w:link w:val="44"/>
    <w:qFormat/>
    <w:uiPriority w:val="0"/>
    <w:pPr>
      <w:keepNext w:val="0"/>
      <w:keepLines w:val="0"/>
      <w:spacing w:before="0" w:after="0" w:line="240" w:lineRule="auto"/>
    </w:pPr>
  </w:style>
  <w:style w:type="paragraph" w:customStyle="1" w:styleId="43">
    <w:name w:val="标题4"/>
    <w:basedOn w:val="1"/>
    <w:link w:val="46"/>
    <w:qFormat/>
    <w:uiPriority w:val="0"/>
    <w:pPr>
      <w:ind w:firstLine="640"/>
    </w:pPr>
    <w:rPr>
      <w:rFonts w:cs="仿宋"/>
      <w:szCs w:val="32"/>
    </w:rPr>
  </w:style>
  <w:style w:type="character" w:customStyle="1" w:styleId="44">
    <w:name w:val="标题3 字符"/>
    <w:basedOn w:val="26"/>
    <w:link w:val="42"/>
    <w:qFormat/>
    <w:uiPriority w:val="0"/>
    <w:rPr>
      <w:rFonts w:ascii="Times New Roman" w:hAnsi="Times New Roman" w:eastAsia="仿宋" w:cs="Times New Roman (正文 CS 字体)"/>
      <w:b/>
      <w:bCs/>
      <w:kern w:val="2"/>
      <w:sz w:val="32"/>
      <w:szCs w:val="32"/>
    </w:rPr>
  </w:style>
  <w:style w:type="character" w:customStyle="1" w:styleId="45">
    <w:name w:val="标题 3 字符"/>
    <w:basedOn w:val="26"/>
    <w:link w:val="5"/>
    <w:semiHidden/>
    <w:qFormat/>
    <w:uiPriority w:val="9"/>
    <w:rPr>
      <w:rFonts w:ascii="Times New Roman" w:hAnsi="Times New Roman" w:eastAsia="仿宋" w:cs="Times New Roman (正文 CS 字体)"/>
      <w:b/>
      <w:bCs/>
      <w:kern w:val="2"/>
      <w:sz w:val="32"/>
      <w:szCs w:val="32"/>
    </w:rPr>
  </w:style>
  <w:style w:type="character" w:customStyle="1" w:styleId="46">
    <w:name w:val="标题4 字符"/>
    <w:basedOn w:val="26"/>
    <w:link w:val="43"/>
    <w:qFormat/>
    <w:uiPriority w:val="0"/>
    <w:rPr>
      <w:rFonts w:ascii="仿宋" w:hAnsi="仿宋" w:eastAsia="仿宋" w:cs="仿宋"/>
      <w:kern w:val="2"/>
      <w:sz w:val="32"/>
      <w:szCs w:val="32"/>
    </w:rPr>
  </w:style>
  <w:style w:type="table" w:customStyle="1" w:styleId="47">
    <w:name w:val="网格型3"/>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浅色1"/>
    <w:basedOn w:val="24"/>
    <w:qFormat/>
    <w:uiPriority w:val="40"/>
    <w:rPr>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9">
    <w:name w:val="网格表 4 - 着色 31"/>
    <w:basedOn w:val="24"/>
    <w:qFormat/>
    <w:uiPriority w:val="49"/>
    <w:rPr>
      <w:kern w:val="2"/>
      <w:sz w:val="21"/>
      <w:szCs w:val="22"/>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50">
    <w:name w:val="标题 4 字符"/>
    <w:basedOn w:val="26"/>
    <w:link w:val="6"/>
    <w:semiHidden/>
    <w:qFormat/>
    <w:uiPriority w:val="9"/>
    <w:rPr>
      <w:rFonts w:cstheme="majorBidi"/>
      <w:color w:val="2F5597" w:themeColor="accent1" w:themeShade="BF"/>
      <w:kern w:val="2"/>
      <w:sz w:val="28"/>
      <w:szCs w:val="28"/>
      <w14:ligatures w14:val="standardContextual"/>
    </w:rPr>
  </w:style>
  <w:style w:type="character" w:customStyle="1" w:styleId="51">
    <w:name w:val="标题 5 字符"/>
    <w:basedOn w:val="26"/>
    <w:link w:val="7"/>
    <w:semiHidden/>
    <w:qFormat/>
    <w:uiPriority w:val="9"/>
    <w:rPr>
      <w:rFonts w:cstheme="majorBidi"/>
      <w:color w:val="2F5597" w:themeColor="accent1" w:themeShade="BF"/>
      <w:kern w:val="2"/>
      <w:sz w:val="24"/>
      <w:szCs w:val="24"/>
      <w14:ligatures w14:val="standardContextual"/>
    </w:rPr>
  </w:style>
  <w:style w:type="character" w:customStyle="1" w:styleId="52">
    <w:name w:val="标题 6 字符"/>
    <w:basedOn w:val="26"/>
    <w:link w:val="8"/>
    <w:semiHidden/>
    <w:qFormat/>
    <w:uiPriority w:val="9"/>
    <w:rPr>
      <w:rFonts w:cstheme="majorBidi"/>
      <w:b/>
      <w:bCs/>
      <w:color w:val="2F5597" w:themeColor="accent1" w:themeShade="BF"/>
      <w:kern w:val="2"/>
      <w:sz w:val="22"/>
      <w:szCs w:val="24"/>
      <w14:ligatures w14:val="standardContextual"/>
    </w:rPr>
  </w:style>
  <w:style w:type="character" w:customStyle="1" w:styleId="53">
    <w:name w:val="标题 7 字符"/>
    <w:basedOn w:val="26"/>
    <w:link w:val="9"/>
    <w:semiHidden/>
    <w:qFormat/>
    <w:uiPriority w:val="9"/>
    <w:rPr>
      <w:rFonts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54">
    <w:name w:val="标题 8 字符"/>
    <w:basedOn w:val="26"/>
    <w:link w:val="10"/>
    <w:semiHidden/>
    <w:qFormat/>
    <w:uiPriority w:val="9"/>
    <w:rPr>
      <w:rFonts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55">
    <w:name w:val="标题 9 字符"/>
    <w:basedOn w:val="26"/>
    <w:link w:val="11"/>
    <w:semiHidden/>
    <w:qFormat/>
    <w:uiPriority w:val="9"/>
    <w:rPr>
      <w:rFonts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56">
    <w:name w:val="副标题 字符"/>
    <w:basedOn w:val="26"/>
    <w:link w:val="18"/>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57">
    <w:name w:val="Quote"/>
    <w:basedOn w:val="1"/>
    <w:next w:val="1"/>
    <w:link w:val="58"/>
    <w:qFormat/>
    <w:uiPriority w:val="29"/>
    <w:pPr>
      <w:spacing w:before="160"/>
      <w:ind w:firstLine="0" w:firstLineChars="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58">
    <w:name w:val="引用 字符"/>
    <w:basedOn w:val="26"/>
    <w:link w:val="57"/>
    <w:qFormat/>
    <w:uiPriority w:val="29"/>
    <w:rPr>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59">
    <w:name w:val="明显强调1"/>
    <w:basedOn w:val="26"/>
    <w:qFormat/>
    <w:uiPriority w:val="21"/>
    <w:rPr>
      <w:i/>
      <w:iCs/>
      <w:color w:val="2F5597" w:themeColor="accent1" w:themeShade="BF"/>
    </w:rPr>
  </w:style>
  <w:style w:type="paragraph" w:styleId="60">
    <w:name w:val="Intense Quote"/>
    <w:basedOn w:val="1"/>
    <w:next w:val="1"/>
    <w:link w:val="61"/>
    <w:qFormat/>
    <w:uiPriority w:val="30"/>
    <w:pPr>
      <w:pBdr>
        <w:top w:val="single" w:color="2F5496" w:themeColor="accent1" w:themeShade="BF" w:sz="4" w:space="10"/>
        <w:bottom w:val="single" w:color="2F5496" w:themeColor="accent1" w:themeShade="BF" w:sz="4" w:space="10"/>
      </w:pBdr>
      <w:spacing w:before="360" w:after="360"/>
      <w:ind w:left="864" w:right="864" w:firstLine="0" w:firstLineChars="0"/>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61">
    <w:name w:val="明显引用 字符"/>
    <w:basedOn w:val="26"/>
    <w:link w:val="60"/>
    <w:qFormat/>
    <w:uiPriority w:val="30"/>
    <w:rPr>
      <w:i/>
      <w:iCs/>
      <w:color w:val="2F5597" w:themeColor="accent1" w:themeShade="BF"/>
      <w:kern w:val="2"/>
      <w:sz w:val="22"/>
      <w:szCs w:val="24"/>
      <w14:ligatures w14:val="standardContextual"/>
    </w:rPr>
  </w:style>
  <w:style w:type="character" w:customStyle="1" w:styleId="62">
    <w:name w:val="明显参考1"/>
    <w:basedOn w:val="26"/>
    <w:qFormat/>
    <w:uiPriority w:val="32"/>
    <w:rPr>
      <w:b/>
      <w:bCs/>
      <w:smallCaps/>
      <w:color w:val="2F5597" w:themeColor="accent1" w:themeShade="BF"/>
      <w:spacing w:val="5"/>
    </w:rPr>
  </w:style>
  <w:style w:type="paragraph" w:customStyle="1" w:styleId="63">
    <w:name w:val="修订1"/>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64">
    <w:name w:val="text-tag"/>
    <w:basedOn w:val="26"/>
    <w:qFormat/>
    <w:uiPriority w:val="0"/>
  </w:style>
  <w:style w:type="paragraph" w:customStyle="1" w:styleId="65">
    <w:name w:val="修订2"/>
    <w:hidden/>
    <w:unhideWhenUsed/>
    <w:qFormat/>
    <w:uiPriority w:val="99"/>
    <w:pPr>
      <w:spacing w:after="160" w:line="278" w:lineRule="auto"/>
    </w:pPr>
    <w:rPr>
      <w:rFonts w:ascii="仿宋" w:hAnsi="仿宋" w:eastAsia="仿宋" w:cs="Times New Roman (正文 CS 字体)"/>
      <w:kern w:val="2"/>
      <w:sz w:val="21"/>
      <w:szCs w:val="24"/>
      <w:lang w:val="en-US" w:eastAsia="zh-CN" w:bidi="ar-SA"/>
    </w:rPr>
  </w:style>
  <w:style w:type="character" w:customStyle="1" w:styleId="66">
    <w:name w:val="批注文字 字符"/>
    <w:basedOn w:val="26"/>
    <w:link w:val="12"/>
    <w:qFormat/>
    <w:uiPriority w:val="99"/>
    <w:rPr>
      <w:rFonts w:ascii="仿宋" w:hAnsi="仿宋" w:eastAsia="仿宋" w:cs="Times New Roman (正文 CS 字体)"/>
      <w:kern w:val="2"/>
      <w:sz w:val="21"/>
      <w:szCs w:val="24"/>
    </w:rPr>
  </w:style>
  <w:style w:type="character" w:customStyle="1" w:styleId="67">
    <w:name w:val="批注主题 字符"/>
    <w:basedOn w:val="66"/>
    <w:link w:val="23"/>
    <w:semiHidden/>
    <w:qFormat/>
    <w:uiPriority w:val="99"/>
    <w:rPr>
      <w:rFonts w:ascii="仿宋" w:hAnsi="仿宋" w:eastAsia="仿宋" w:cs="Times New Roman (正文 CS 字体)"/>
      <w:b/>
      <w:bCs/>
      <w:kern w:val="2"/>
      <w:sz w:val="21"/>
      <w:szCs w:val="24"/>
    </w:rPr>
  </w:style>
  <w:style w:type="character" w:customStyle="1" w:styleId="68">
    <w:name w:val="未处理的提及2"/>
    <w:basedOn w:val="26"/>
    <w:semiHidden/>
    <w:unhideWhenUsed/>
    <w:qFormat/>
    <w:uiPriority w:val="99"/>
    <w:rPr>
      <w:color w:val="605E5C"/>
      <w:shd w:val="clear" w:color="auto" w:fill="E1DFDD"/>
    </w:rPr>
  </w:style>
  <w:style w:type="paragraph" w:customStyle="1" w:styleId="69">
    <w:name w:val="修订3"/>
    <w:hidden/>
    <w:unhideWhenUsed/>
    <w:qFormat/>
    <w:uiPriority w:val="99"/>
    <w:pPr>
      <w:spacing w:after="160" w:line="278" w:lineRule="auto"/>
    </w:pPr>
    <w:rPr>
      <w:rFonts w:ascii="仿宋" w:hAnsi="仿宋" w:eastAsia="仿宋" w:cs="Times New Roman (正文 CS 字体)"/>
      <w:kern w:val="2"/>
      <w:sz w:val="21"/>
      <w:szCs w:val="24"/>
      <w:lang w:val="en-US" w:eastAsia="zh-CN" w:bidi="ar-SA"/>
    </w:rPr>
  </w:style>
  <w:style w:type="paragraph" w:customStyle="1" w:styleId="70">
    <w:name w:val="Revision"/>
    <w:hidden/>
    <w:unhideWhenUsed/>
    <w:qFormat/>
    <w:uiPriority w:val="99"/>
    <w:pPr>
      <w:spacing w:after="0" w:line="240" w:lineRule="auto"/>
    </w:pPr>
    <w:rPr>
      <w:rFonts w:ascii="仿宋" w:hAnsi="仿宋" w:eastAsia="仿宋" w:cs="Times New Roman (正文 CS 字体)"/>
      <w:kern w:val="2"/>
      <w:sz w:val="21"/>
      <w:szCs w:val="24"/>
      <w:lang w:val="en-US" w:eastAsia="zh-CN" w:bidi="ar-SA"/>
    </w:rPr>
  </w:style>
  <w:style w:type="paragraph" w:customStyle="1" w:styleId="71">
    <w:name w:val="style"/>
    <w:basedOn w:val="1"/>
    <w:qFormat/>
    <w:uiPriority w:val="0"/>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11200</Words>
  <Characters>11200</Characters>
  <Lines>533</Lines>
  <Paragraphs>509</Paragraphs>
  <TotalTime>67</TotalTime>
  <ScaleCrop>false</ScaleCrop>
  <LinksUpToDate>false</LinksUpToDate>
  <CharactersWithSpaces>21891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2025-01-07T01:01:00Z</dcterms:created>
  <dc:creator>1701212234@pku.edu.cn</dc:creator>
  <cp:lastModifiedBy>张岸汀</cp:lastModifiedBy>
  <cp:lastPrinted>2025-09-30T17:23:00Z</cp:lastPrinted>
  <dcterms:modified xsi:type="dcterms:W3CDTF">2025-11-06T09:16:51Z</dcterms:modified>
  <cp:revision>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53D740FD337DED6FF0E5BF685C51537D</vt:lpwstr>
  </property>
</Properties>
</file>