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5A577">
      <w:pPr>
        <w:widowControl/>
        <w:spacing w:line="432" w:lineRule="auto"/>
        <w:jc w:val="left"/>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附件</w:t>
      </w:r>
      <w:bookmarkStart w:id="0" w:name="_GoBack"/>
      <w:bookmarkEnd w:id="0"/>
    </w:p>
    <w:p w14:paraId="2C2C536B">
      <w:pPr>
        <w:widowControl/>
        <w:spacing w:line="432" w:lineRule="auto"/>
        <w:jc w:val="left"/>
        <w:rPr>
          <w:rFonts w:hint="eastAsia" w:ascii="方正小标宋简体" w:hAnsi="方正小标宋简体" w:eastAsia="方正小标宋简体" w:cs="方正小标宋简体"/>
          <w:b w:val="0"/>
          <w:bCs w:val="0"/>
          <w:color w:val="000000"/>
          <w:kern w:val="0"/>
          <w:sz w:val="32"/>
          <w:szCs w:val="32"/>
          <w:lang w:val="en-US" w:eastAsia="zh-CN"/>
        </w:rPr>
      </w:pPr>
    </w:p>
    <w:p w14:paraId="79C3AF1A">
      <w:pPr>
        <w:widowControl/>
        <w:spacing w:line="432" w:lineRule="auto"/>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福建省会计师事务所综合评价办法</w:t>
      </w:r>
    </w:p>
    <w:p w14:paraId="4BA7DF57">
      <w:pPr>
        <w:spacing w:line="620" w:lineRule="exact"/>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p>
    <w:p w14:paraId="5D816AFB">
      <w:pPr>
        <w:spacing w:line="620" w:lineRule="exact"/>
        <w:ind w:firstLine="0" w:firstLineChars="0"/>
        <w:jc w:val="center"/>
        <w:rPr>
          <w:rFonts w:hint="eastAsia" w:ascii="仿宋" w:hAnsi="仿宋" w:eastAsia="仿宋" w:cs="仿宋"/>
          <w:sz w:val="32"/>
          <w:szCs w:val="32"/>
          <w:lang w:eastAsia="zh-CN"/>
        </w:rPr>
      </w:pPr>
    </w:p>
    <w:p w14:paraId="3248D072">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总则</w:t>
      </w:r>
    </w:p>
    <w:p w14:paraId="33826E73">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第一条</w:t>
      </w:r>
      <w:r>
        <w:rPr>
          <w:rFonts w:hint="eastAsia" w:ascii="仿宋" w:hAnsi="仿宋" w:eastAsia="仿宋" w:cs="仿宋"/>
          <w:color w:val="000000" w:themeColor="text1"/>
          <w:kern w:val="0"/>
          <w:sz w:val="32"/>
          <w:szCs w:val="32"/>
          <w14:textFill>
            <w14:solidFill>
              <w14:schemeClr w14:val="tx1"/>
            </w14:solidFill>
          </w14:textFill>
        </w:rPr>
        <w:t xml:space="preserve"> 为综合反映与科学评价福建省会计师事务所（以下简称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事务所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）发展水平，引导事务所</w:t>
      </w:r>
      <w:r>
        <w:rPr>
          <w:rFonts w:hint="eastAsia" w:ascii="仿宋" w:hAnsi="仿宋" w:eastAsia="仿宋" w:cs="仿宋"/>
          <w:color w:val="000000" w:themeColor="text1"/>
          <w:sz w:val="32"/>
          <w:szCs w:val="32"/>
          <w14:textFill>
            <w14:solidFill>
              <w14:schemeClr w14:val="tx1"/>
            </w14:solidFill>
          </w14:textFill>
        </w:rPr>
        <w:t>强化内部治理，加强诚信建设、树立风险意识，提升审计质量，实现高质量发展</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根据中国注册会计师协会（以下简称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中注协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）《会计师事务所综合评价排名办法》，结合我省实际，</w:t>
      </w:r>
      <w:r>
        <w:rPr>
          <w:rFonts w:hint="eastAsia" w:ascii="仿宋" w:hAnsi="仿宋" w:eastAsia="仿宋" w:cs="仿宋"/>
          <w:color w:val="000000" w:themeColor="text1"/>
          <w:kern w:val="0"/>
          <w:sz w:val="32"/>
          <w:szCs w:val="32"/>
          <w14:textFill>
            <w14:solidFill>
              <w14:schemeClr w14:val="tx1"/>
            </w14:solidFill>
          </w14:textFill>
        </w:rPr>
        <w:t>制定本办法。</w:t>
      </w:r>
    </w:p>
    <w:p w14:paraId="3B7C605E">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 xml:space="preserve">第二条 </w:t>
      </w:r>
      <w:r>
        <w:rPr>
          <w:rFonts w:hint="eastAsia" w:ascii="仿宋" w:hAnsi="仿宋" w:eastAsia="仿宋" w:cs="仿宋"/>
          <w:color w:val="000000" w:themeColor="text1"/>
          <w:kern w:val="0"/>
          <w:sz w:val="32"/>
          <w:szCs w:val="32"/>
          <w14:textFill>
            <w14:solidFill>
              <w14:schemeClr w14:val="tx1"/>
            </w14:solidFill>
          </w14:textFill>
        </w:rPr>
        <w:t>福建省注册会计师协会（以下简称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省注协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）以</w:t>
      </w:r>
      <w:r>
        <w:rPr>
          <w:rFonts w:hint="eastAsia" w:ascii="仿宋" w:hAnsi="仿宋" w:eastAsia="仿宋" w:cs="仿宋"/>
          <w:color w:val="000000" w:themeColor="text1"/>
          <w:sz w:val="32"/>
          <w:szCs w:val="32"/>
          <w14:textFill>
            <w14:solidFill>
              <w14:schemeClr w14:val="tx1"/>
            </w14:solidFill>
          </w14:textFill>
        </w:rPr>
        <w:t>注册会计师行业统一监管平台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注册会计师行业管理信息系统</w:t>
      </w:r>
      <w:r>
        <w:rPr>
          <w:rFonts w:hint="eastAsia" w:ascii="仿宋" w:hAnsi="仿宋" w:eastAsia="仿宋" w:cs="仿宋"/>
          <w:color w:val="000000" w:themeColor="text1"/>
          <w:sz w:val="32"/>
          <w:szCs w:val="32"/>
          <w:lang w:eastAsia="zh-CN"/>
          <w14:textFill>
            <w14:solidFill>
              <w14:schemeClr w14:val="tx1"/>
            </w14:solidFill>
          </w14:textFill>
        </w:rPr>
        <w:t>和福建省注册会计师行业管理平台</w:t>
      </w:r>
      <w:r>
        <w:rPr>
          <w:rFonts w:hint="eastAsia" w:ascii="仿宋" w:hAnsi="仿宋" w:eastAsia="仿宋" w:cs="仿宋"/>
          <w:color w:val="000000" w:themeColor="text1"/>
          <w:kern w:val="0"/>
          <w:sz w:val="32"/>
          <w:szCs w:val="32"/>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依托</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按年度组织开展</w:t>
      </w:r>
      <w:r>
        <w:rPr>
          <w:rFonts w:hint="eastAsia" w:ascii="仿宋" w:hAnsi="仿宋" w:eastAsia="仿宋" w:cs="仿宋"/>
          <w:color w:val="000000" w:themeColor="text1"/>
          <w:sz w:val="32"/>
          <w:szCs w:val="32"/>
          <w:lang w:eastAsia="zh-CN"/>
          <w14:textFill>
            <w14:solidFill>
              <w14:schemeClr w14:val="tx1"/>
            </w14:solidFill>
          </w14:textFill>
        </w:rPr>
        <w:t>福建省</w:t>
      </w:r>
      <w:r>
        <w:rPr>
          <w:rFonts w:hint="eastAsia" w:ascii="仿宋" w:hAnsi="仿宋" w:eastAsia="仿宋" w:cs="仿宋"/>
          <w:color w:val="000000" w:themeColor="text1"/>
          <w:sz w:val="32"/>
          <w:szCs w:val="32"/>
          <w14:textFill>
            <w14:solidFill>
              <w14:schemeClr w14:val="tx1"/>
            </w14:solidFill>
          </w14:textFill>
        </w:rPr>
        <w:t>事务所综合评价</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家排名（以下简称</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）工作，发布</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家排名信息。</w:t>
      </w:r>
    </w:p>
    <w:p w14:paraId="1936345D">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第三条</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事务所自愿参加</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注协组织的</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家排名。参加排名的事务所应向</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注协提供评价所需的数据及信息，并对所提供的数据及信息的真实性负责。排名结果及相关结论、信息基于事务所提供的数据和信息来源，并不代表</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注协的观点和看法。</w:t>
      </w:r>
    </w:p>
    <w:p w14:paraId="3745DDE2">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参评条件</w:t>
      </w:r>
    </w:p>
    <w:p w14:paraId="0F5C3F5E">
      <w:pPr>
        <w:keepNext w:val="0"/>
        <w:keepLines w:val="0"/>
        <w:pageBreakBefore w:val="0"/>
        <w:widowControl/>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kern w:val="0"/>
          <w:sz w:val="32"/>
          <w:szCs w:val="32"/>
          <w:lang w:eastAsia="zh-CN"/>
          <w14:textFill>
            <w14:solidFill>
              <w14:schemeClr w14:val="tx1"/>
            </w14:solidFill>
          </w14:textFill>
        </w:rPr>
        <w:t>四</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参加</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家排名的事务所应经批准设立并取得执业许可。</w:t>
      </w:r>
    </w:p>
    <w:p w14:paraId="2923489C">
      <w:pPr>
        <w:keepNext w:val="0"/>
        <w:keepLines w:val="0"/>
        <w:pageBreakBefore w:val="0"/>
        <w:widowControl/>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kern w:val="0"/>
          <w:sz w:val="32"/>
          <w:szCs w:val="32"/>
          <w:lang w:eastAsia="zh-CN"/>
          <w14:textFill>
            <w14:solidFill>
              <w14:schemeClr w14:val="tx1"/>
            </w14:solidFill>
          </w14:textFill>
        </w:rPr>
        <w:t>五</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kern w:val="0"/>
          <w:sz w:val="32"/>
          <w:szCs w:val="32"/>
          <w14:textFill>
            <w14:solidFill>
              <w14:schemeClr w14:val="tx1"/>
            </w14:solidFill>
          </w14:textFill>
        </w:rPr>
        <w:t>事务所总所设立在福建省辖区内的，可汇总省内分所数据以总所名义</w:t>
      </w:r>
      <w:r>
        <w:rPr>
          <w:rFonts w:hint="eastAsia" w:ascii="仿宋" w:hAnsi="仿宋" w:eastAsia="仿宋" w:cs="仿宋"/>
          <w:color w:val="000000" w:themeColor="text1"/>
          <w:kern w:val="0"/>
          <w:sz w:val="32"/>
          <w:szCs w:val="32"/>
          <w:lang w:eastAsia="zh-CN"/>
          <w14:textFill>
            <w14:solidFill>
              <w14:schemeClr w14:val="tx1"/>
            </w14:solidFill>
          </w14:textFill>
        </w:rPr>
        <w:t>参加</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w:t>
      </w:r>
      <w:r>
        <w:rPr>
          <w:rFonts w:hint="eastAsia" w:ascii="仿宋" w:hAnsi="仿宋" w:eastAsia="仿宋" w:cs="仿宋"/>
          <w:color w:val="000000" w:themeColor="text1"/>
          <w:kern w:val="0"/>
          <w:sz w:val="32"/>
          <w:szCs w:val="32"/>
          <w14:textFill>
            <w14:solidFill>
              <w14:schemeClr w14:val="tx1"/>
            </w14:solidFill>
          </w14:textFill>
        </w:rPr>
        <w:t>，其分所不再单独</w:t>
      </w:r>
      <w:r>
        <w:rPr>
          <w:rFonts w:hint="eastAsia" w:ascii="仿宋" w:hAnsi="仿宋" w:eastAsia="仿宋" w:cs="仿宋"/>
          <w:color w:val="000000" w:themeColor="text1"/>
          <w:kern w:val="0"/>
          <w:sz w:val="32"/>
          <w:szCs w:val="32"/>
          <w:lang w:eastAsia="zh-CN"/>
          <w14:textFill>
            <w14:solidFill>
              <w14:schemeClr w14:val="tx1"/>
            </w14:solidFill>
          </w14:textFill>
        </w:rPr>
        <w:t>参加</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w:t>
      </w:r>
      <w:r>
        <w:rPr>
          <w:rFonts w:hint="eastAsia" w:ascii="仿宋" w:hAnsi="仿宋" w:eastAsia="仿宋" w:cs="仿宋"/>
          <w:color w:val="000000" w:themeColor="text1"/>
          <w:kern w:val="0"/>
          <w:sz w:val="32"/>
          <w:szCs w:val="32"/>
          <w14:textFill>
            <w14:solidFill>
              <w14:schemeClr w14:val="tx1"/>
            </w14:solidFill>
          </w14:textFill>
        </w:rPr>
        <w:t>。</w:t>
      </w:r>
    </w:p>
    <w:p w14:paraId="76B2AC9D">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省外事务所在福建省辖区内设立的分所，视同独立所参加</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w:t>
      </w:r>
      <w:r>
        <w:rPr>
          <w:rFonts w:hint="eastAsia" w:ascii="仿宋" w:hAnsi="仿宋" w:eastAsia="仿宋" w:cs="仿宋"/>
          <w:color w:val="000000" w:themeColor="text1"/>
          <w:kern w:val="0"/>
          <w:sz w:val="32"/>
          <w:szCs w:val="32"/>
          <w14:textFill>
            <w14:solidFill>
              <w14:schemeClr w14:val="tx1"/>
            </w14:solidFill>
          </w14:textFill>
        </w:rPr>
        <w:t>。</w:t>
      </w:r>
    </w:p>
    <w:p w14:paraId="4826CD88">
      <w:pPr>
        <w:keepNext w:val="0"/>
        <w:keepLines w:val="0"/>
        <w:pageBreakBefore w:val="0"/>
        <w:widowControl/>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kern w:val="0"/>
          <w:sz w:val="32"/>
          <w:szCs w:val="32"/>
          <w:lang w:eastAsia="zh-CN"/>
          <w14:textFill>
            <w14:solidFill>
              <w14:schemeClr w14:val="tx1"/>
            </w14:solidFill>
          </w14:textFill>
        </w:rPr>
        <w:t>六</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kern w:val="0"/>
          <w:sz w:val="32"/>
          <w:szCs w:val="32"/>
          <w14:textFill>
            <w14:solidFill>
              <w14:schemeClr w14:val="tx1"/>
            </w14:solidFill>
          </w14:textFill>
        </w:rPr>
        <w:t>具有下列情形之一者，不得参加</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w:t>
      </w:r>
      <w:r>
        <w:rPr>
          <w:rFonts w:hint="eastAsia" w:ascii="仿宋" w:hAnsi="仿宋" w:eastAsia="仿宋" w:cs="仿宋"/>
          <w:color w:val="000000" w:themeColor="text1"/>
          <w:kern w:val="0"/>
          <w:sz w:val="32"/>
          <w:szCs w:val="32"/>
          <w14:textFill>
            <w14:solidFill>
              <w14:schemeClr w14:val="tx1"/>
            </w14:solidFill>
          </w14:textFill>
        </w:rPr>
        <w:t>：</w:t>
      </w:r>
    </w:p>
    <w:p w14:paraId="4A3F0159">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（一）未持续达到规定的设立条件；</w:t>
      </w:r>
    </w:p>
    <w:p w14:paraId="6041D6D4">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（二）未按时履行会员义务；</w:t>
      </w:r>
    </w:p>
    <w:p w14:paraId="70864CEF">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（三）在上一次或本次综合评价中信息严重失实</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69DA15D0">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（四）省注协认定不能参加前五十家排名的其他情形</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3ABCE109">
      <w:pPr>
        <w:keepNext w:val="0"/>
        <w:keepLines w:val="0"/>
        <w:pageBreakBefore w:val="0"/>
        <w:widowControl/>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color w:val="000000" w:themeColor="text1"/>
          <w:kern w:val="0"/>
          <w:sz w:val="32"/>
          <w:szCs w:val="32"/>
          <w:lang w:eastAsia="zh-CN"/>
          <w14:textFill>
            <w14:solidFill>
              <w14:schemeClr w14:val="tx1"/>
            </w14:solidFill>
          </w14:textFill>
        </w:rPr>
        <w:t>七</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涉及合并或分立事项的有限责任事务所，以合并或分立后的事务所参加</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家排名的，应当在评价年度12月31日前办结以下所有手续：</w:t>
      </w:r>
    </w:p>
    <w:p w14:paraId="21D623AF">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（一）形成合并、分立相关董事会决议及股东会决议。</w:t>
      </w:r>
    </w:p>
    <w:p w14:paraId="032EB0B8">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（二）完成市场监督管理部门变更登记手续。</w:t>
      </w:r>
    </w:p>
    <w:p w14:paraId="03702C47">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（三）完成在财政部门的变更备案；需要变更名称的，应取得新的事务所执业证书。</w:t>
      </w:r>
    </w:p>
    <w:p w14:paraId="534B5E21">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（四）领取变更后的中国注册会计师协会单位会员电子证书。</w:t>
      </w:r>
    </w:p>
    <w:p w14:paraId="5E8E1AB6">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八</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事务所不符合参评条件的，由</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注协取消其参评资格或其主动退出。</w:t>
      </w:r>
    </w:p>
    <w:p w14:paraId="44A08B75">
      <w:pPr>
        <w:keepNext w:val="0"/>
        <w:keepLines w:val="0"/>
        <w:pageBreakBefore w:val="0"/>
        <w:widowControl/>
        <w:kinsoku/>
        <w:wordWrap/>
        <w:overflowPunct/>
        <w:topLinePunct w:val="0"/>
        <w:autoSpaceDE/>
        <w:autoSpaceDN/>
        <w:bidi w:val="0"/>
        <w:adjustRightInd/>
        <w:snapToGrid/>
        <w:spacing w:line="620" w:lineRule="exact"/>
        <w:ind w:firstLine="0" w:firstLineChars="0"/>
        <w:jc w:val="left"/>
        <w:textAlignment w:val="auto"/>
        <w:rPr>
          <w:rFonts w:hint="eastAsia" w:ascii="仿宋" w:hAnsi="仿宋" w:eastAsia="仿宋" w:cs="仿宋"/>
          <w:b/>
          <w:bCs/>
          <w:color w:val="000000" w:themeColor="text1"/>
          <w:kern w:val="0"/>
          <w:sz w:val="32"/>
          <w:szCs w:val="32"/>
          <w14:textFill>
            <w14:solidFill>
              <w14:schemeClr w14:val="tx1"/>
            </w14:solidFill>
          </w14:textFill>
        </w:rPr>
      </w:pPr>
    </w:p>
    <w:p w14:paraId="607B5A54">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评价指标</w:t>
      </w:r>
    </w:p>
    <w:p w14:paraId="3345BEFC">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九</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家排名采取指标评价方式开展。</w:t>
      </w:r>
      <w:r>
        <w:rPr>
          <w:rFonts w:hint="eastAsia" w:ascii="仿宋" w:hAnsi="仿宋" w:eastAsia="仿宋" w:cs="仿宋"/>
          <w:color w:val="000000" w:themeColor="text1"/>
          <w:sz w:val="32"/>
          <w:szCs w:val="32"/>
          <w:highlight w:val="none"/>
          <w14:textFill>
            <w14:solidFill>
              <w14:schemeClr w14:val="tx1"/>
            </w14:solidFill>
          </w14:textFill>
        </w:rPr>
        <w:t>评价指标由基础指标和附加指标构成，评价得分为基础指标得分与附加指标得分之和。</w:t>
      </w:r>
    </w:p>
    <w:p w14:paraId="6FF5D45A">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第十条</w:t>
      </w:r>
      <w:r>
        <w:rPr>
          <w:rFonts w:hint="eastAsia" w:ascii="仿宋" w:hAnsi="仿宋" w:eastAsia="仿宋" w:cs="仿宋"/>
          <w:color w:val="000000" w:themeColor="text1"/>
          <w:sz w:val="32"/>
          <w:szCs w:val="32"/>
          <w:highlight w:val="none"/>
          <w14:textFill>
            <w14:solidFill>
              <w14:schemeClr w14:val="tx1"/>
            </w14:solidFill>
          </w14:textFill>
        </w:rPr>
        <w:t xml:space="preserve"> 基础指标从业务收入、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人力资源、党群建设、内部治理、行业贡献、处理处罚六</w:t>
      </w:r>
      <w:r>
        <w:rPr>
          <w:rFonts w:hint="eastAsia" w:ascii="仿宋" w:hAnsi="仿宋" w:eastAsia="仿宋" w:cs="仿宋"/>
          <w:color w:val="000000" w:themeColor="text1"/>
          <w:sz w:val="32"/>
          <w:szCs w:val="32"/>
          <w:highlight w:val="none"/>
          <w14:textFill>
            <w14:solidFill>
              <w14:schemeClr w14:val="tx1"/>
            </w14:solidFill>
          </w14:textFill>
        </w:rPr>
        <w:t>个方面反映事务所发展状况，共设置以下</w:t>
      </w:r>
      <w:r>
        <w:rPr>
          <w:rFonts w:hint="eastAsia" w:ascii="仿宋" w:hAnsi="仿宋" w:eastAsia="仿宋" w:cs="仿宋"/>
          <w:color w:val="000000" w:themeColor="text1"/>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sz w:val="32"/>
          <w:szCs w:val="32"/>
          <w:highlight w:val="none"/>
          <w14:textFill>
            <w14:solidFill>
              <w14:schemeClr w14:val="tx1"/>
            </w14:solidFill>
          </w14:textFill>
        </w:rPr>
        <w:t>项具体指标，分值共计</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w:t>
      </w:r>
    </w:p>
    <w:p w14:paraId="3A6A5C73">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业务收入。包括业务收入规模、业务收入正增长、注册会计师人均业务收入3项具体指标，分值合计50分；</w:t>
      </w:r>
    </w:p>
    <w:p w14:paraId="0AEF460F">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（二）人力资源。包括执业超过5年且年龄在60周岁以内的注册会计师人数、注册会计师平均年龄情况、人才培养支出水平、人才队伍建设4项具体指标，分值合计10分；</w:t>
      </w:r>
    </w:p>
    <w:p w14:paraId="3AC3E168">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（三）党群建设。包括党群组织建设、增强党组织政治功能和组织功能2项具体指标，分值合计5分；</w:t>
      </w:r>
    </w:p>
    <w:p w14:paraId="44B4E4CE">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（四）内部治理。包括信息化支出水平、一体化管理、品牌延续时间3项具体指标，分值合计5分；</w:t>
      </w:r>
    </w:p>
    <w:p w14:paraId="7C22A300">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（五）行业贡献。包括承担行业责任情况、公益慈善及评优表彰情况2项具体指标，分值合计5分；</w:t>
      </w:r>
    </w:p>
    <w:p w14:paraId="3A62F7A6">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（六）处理处罚。包括事务所及注册会计师受处罚情况1项具体指标，分值合计25分。</w:t>
      </w:r>
    </w:p>
    <w:p w14:paraId="05079DFF">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color w:val="000000" w:themeColor="text1"/>
          <w:sz w:val="32"/>
          <w:szCs w:val="32"/>
          <w:highlight w:val="none"/>
          <w14:textFill>
            <w14:solidFill>
              <w14:schemeClr w14:val="tx1"/>
            </w14:solidFill>
          </w14:textFill>
        </w:rPr>
        <w:t xml:space="preserve"> 各项具体指标的分值与评分方法如下：</w:t>
      </w:r>
    </w:p>
    <w:p w14:paraId="4AF6A0D8">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（一）业务收入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规模</w:t>
      </w:r>
      <w:r>
        <w:rPr>
          <w:rFonts w:hint="eastAsia" w:ascii="仿宋" w:hAnsi="仿宋" w:eastAsia="仿宋" w:cs="仿宋"/>
          <w:color w:val="000000" w:themeColor="text1"/>
          <w:sz w:val="32"/>
          <w:szCs w:val="32"/>
          <w:lang w:val="en-US" w:eastAsia="zh-CN"/>
          <w14:textFill>
            <w14:solidFill>
              <w14:schemeClr w14:val="tx1"/>
            </w14:solidFill>
          </w14:textFill>
        </w:rPr>
        <w:t>指标</w:t>
      </w:r>
      <w:r>
        <w:rPr>
          <w:rFonts w:hint="eastAsia" w:ascii="仿宋" w:hAnsi="仿宋" w:eastAsia="仿宋" w:cs="仿宋"/>
          <w:color w:val="000000" w:themeColor="text1"/>
          <w:sz w:val="32"/>
          <w:szCs w:val="32"/>
          <w14:textFill>
            <w14:solidFill>
              <w14:schemeClr w14:val="tx1"/>
            </w14:solidFill>
          </w14:textFill>
        </w:rPr>
        <w:t>。指事务所上报省注协的、经过审计的</w:t>
      </w:r>
      <w:r>
        <w:rPr>
          <w:rFonts w:hint="eastAsia" w:ascii="仿宋" w:hAnsi="仿宋" w:eastAsia="仿宋" w:cs="仿宋"/>
          <w:color w:val="000000" w:themeColor="text1"/>
          <w:sz w:val="32"/>
          <w:szCs w:val="32"/>
          <w:lang w:eastAsia="zh-CN"/>
          <w14:textFill>
            <w14:solidFill>
              <w14:schemeClr w14:val="tx1"/>
            </w14:solidFill>
          </w14:textFill>
        </w:rPr>
        <w:t>评价</w:t>
      </w:r>
      <w:r>
        <w:rPr>
          <w:rFonts w:hint="eastAsia" w:ascii="仿宋" w:hAnsi="仿宋" w:eastAsia="仿宋" w:cs="仿宋"/>
          <w:color w:val="000000" w:themeColor="text1"/>
          <w:sz w:val="32"/>
          <w:szCs w:val="32"/>
          <w14:textFill>
            <w14:solidFill>
              <w14:schemeClr w14:val="tx1"/>
            </w14:solidFill>
          </w14:textFill>
        </w:rPr>
        <w:t>年度本身业务收入</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35%，满分35分</w:t>
      </w:r>
      <w:r>
        <w:rPr>
          <w:rFonts w:hint="eastAsia" w:ascii="仿宋" w:hAnsi="仿宋" w:eastAsia="仿宋" w:cs="仿宋"/>
          <w:color w:val="000000" w:themeColor="text1"/>
          <w:sz w:val="32"/>
          <w:szCs w:val="32"/>
          <w14:textFill>
            <w14:solidFill>
              <w14:schemeClr w14:val="tx1"/>
            </w14:solidFill>
          </w14:textFill>
        </w:rPr>
        <w:t>。根据评价年度内本所业务收入年均值赋分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档计算</w:t>
      </w:r>
      <w:r>
        <w:rPr>
          <w:rFonts w:hint="eastAsia" w:ascii="仿宋" w:hAnsi="仿宋" w:eastAsia="仿宋" w:cs="仿宋"/>
          <w:color w:val="000000" w:themeColor="text1"/>
          <w:sz w:val="32"/>
          <w:szCs w:val="32"/>
          <w:lang w:eastAsia="zh-CN"/>
          <w14:textFill>
            <w14:solidFill>
              <w14:schemeClr w14:val="tx1"/>
            </w14:solidFill>
          </w14:textFill>
        </w:rPr>
        <w:t>。</w:t>
      </w:r>
    </w:p>
    <w:p w14:paraId="263D7ADD">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业务收入在1亿元以上的为第一档，满分</w:t>
      </w:r>
      <w:r>
        <w:rPr>
          <w:rFonts w:hint="eastAsia" w:ascii="仿宋" w:hAnsi="仿宋" w:eastAsia="仿宋" w:cs="仿宋"/>
          <w:color w:val="000000" w:themeColor="text1"/>
          <w:sz w:val="32"/>
          <w:szCs w:val="32"/>
          <w:lang w:val="en-US" w:eastAsia="zh-CN"/>
          <w14:textFill>
            <w14:solidFill>
              <w14:schemeClr w14:val="tx1"/>
            </w14:solidFill>
          </w14:textFill>
        </w:rPr>
        <w:t>35</w:t>
      </w:r>
      <w:r>
        <w:rPr>
          <w:rFonts w:hint="eastAsia" w:ascii="仿宋" w:hAnsi="仿宋" w:eastAsia="仿宋" w:cs="仿宋"/>
          <w:color w:val="000000" w:themeColor="text1"/>
          <w:sz w:val="32"/>
          <w:szCs w:val="32"/>
          <w:lang w:eastAsia="zh-CN"/>
          <w14:textFill>
            <w14:solidFill>
              <w14:schemeClr w14:val="tx1"/>
            </w14:solidFill>
          </w14:textFill>
        </w:rPr>
        <w:t>分，计算公式：</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lang w:eastAsia="zh-CN"/>
          <w14:textFill>
            <w14:solidFill>
              <w14:schemeClr w14:val="tx1"/>
            </w14:solidFill>
          </w14:textFill>
        </w:rPr>
        <w:t>分+[（业务收入-1亿元）/（全省业务收入最高值-1亿元）]×</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分；</w:t>
      </w:r>
    </w:p>
    <w:p w14:paraId="0A889549">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业务收入在5000万元以上、1亿元（含）以下的为第二档，满分</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lang w:eastAsia="zh-CN"/>
          <w14:textFill>
            <w14:solidFill>
              <w14:schemeClr w14:val="tx1"/>
            </w14:solidFill>
          </w14:textFill>
        </w:rPr>
        <w:t>分，计算公式：</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lang w:eastAsia="zh-CN"/>
          <w14:textFill>
            <w14:solidFill>
              <w14:schemeClr w14:val="tx1"/>
            </w14:solidFill>
          </w14:textFill>
        </w:rPr>
        <w:t>分+[（业务收入-5000万元）/（1亿元-5000万元）]×</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分；</w:t>
      </w:r>
    </w:p>
    <w:p w14:paraId="54D4F2EF">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业务收入在1000万元以上、5000万元（含）以下的为第三档，满分</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lang w:eastAsia="zh-CN"/>
          <w14:textFill>
            <w14:solidFill>
              <w14:schemeClr w14:val="tx1"/>
            </w14:solidFill>
          </w14:textFill>
        </w:rPr>
        <w:t>分，计算公式：</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lang w:eastAsia="zh-CN"/>
          <w14:textFill>
            <w14:solidFill>
              <w14:schemeClr w14:val="tx1"/>
            </w14:solidFill>
          </w14:textFill>
        </w:rPr>
        <w:t>分+[（业务收入-1000万元）/（5000万元-1000万元）]×</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分；</w:t>
      </w:r>
    </w:p>
    <w:p w14:paraId="18383FA4">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业务收入在</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00万元以上、1000万元（含）以下的为第四档，满分</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lang w:eastAsia="zh-CN"/>
          <w14:textFill>
            <w14:solidFill>
              <w14:schemeClr w14:val="tx1"/>
            </w14:solidFill>
          </w14:textFill>
        </w:rPr>
        <w:t>分，计算公式：</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lang w:eastAsia="zh-CN"/>
          <w14:textFill>
            <w14:solidFill>
              <w14:schemeClr w14:val="tx1"/>
            </w14:solidFill>
          </w14:textFill>
        </w:rPr>
        <w:t>分+[（业务收入-</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00万元）/（1000万元-</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00万元）]×</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 xml:space="preserve">分； </w:t>
      </w:r>
    </w:p>
    <w:p w14:paraId="1BC05A48">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业务收入在</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00万元（含）以下的为第五档，满分</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lang w:eastAsia="zh-CN"/>
          <w14:textFill>
            <w14:solidFill>
              <w14:schemeClr w14:val="tx1"/>
            </w14:solidFill>
          </w14:textFill>
        </w:rPr>
        <w:t>分，计算公式：（业务收入/</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00万元）×</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lang w:eastAsia="zh-CN"/>
          <w14:textFill>
            <w14:solidFill>
              <w14:schemeClr w14:val="tx1"/>
            </w14:solidFill>
          </w14:textFill>
        </w:rPr>
        <w:t xml:space="preserve">分。 </w:t>
      </w:r>
    </w:p>
    <w:p w14:paraId="757FF262">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（二）业务收入正增长指标。权重</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%，满分</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分。赋分方法：上一年度事务所本身业务收入增长率为正的，得</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分；评价年度内新成立的事务所，不得分。</w:t>
      </w:r>
    </w:p>
    <w:p w14:paraId="398E008A">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人均业务收入指标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人数口径采用事务所截至上一年度12月31日的</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人数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%，满分</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分。根据评价年度内事务所</w:t>
      </w:r>
      <w:r>
        <w:rPr>
          <w:rFonts w:hint="eastAsia" w:ascii="仿宋" w:hAnsi="仿宋" w:eastAsia="仿宋" w:cs="仿宋"/>
          <w:color w:val="000000" w:themeColor="text1"/>
          <w:sz w:val="32"/>
          <w:szCs w:val="32"/>
          <w:lang w:val="en-US"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人均业务收入赋分，分</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档计算。</w:t>
      </w:r>
    </w:p>
    <w:p w14:paraId="6FB1D1A0">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1.注册会计师</w:t>
      </w:r>
      <w:r>
        <w:rPr>
          <w:rFonts w:hint="eastAsia" w:ascii="仿宋" w:hAnsi="仿宋" w:eastAsia="仿宋" w:cs="仿宋"/>
          <w:color w:val="000000" w:themeColor="text1"/>
          <w:sz w:val="32"/>
          <w:szCs w:val="32"/>
          <w14:textFill>
            <w14:solidFill>
              <w14:schemeClr w14:val="tx1"/>
            </w14:solidFill>
          </w14:textFill>
        </w:rPr>
        <w:t>人均业务收入在80万元以上的为第</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档，满分</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分，计算公式：</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人均业务收入-80万元）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（全省</w:t>
      </w:r>
      <w:r>
        <w:rPr>
          <w:rFonts w:hint="eastAsia" w:ascii="仿宋" w:hAnsi="仿宋" w:eastAsia="仿宋" w:cs="仿宋"/>
          <w:color w:val="000000" w:themeColor="text1"/>
          <w:sz w:val="32"/>
          <w:szCs w:val="32"/>
          <w:lang w:val="en-US"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人均业务收入最高值-80万元）]×</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14:paraId="287D9BA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2.注册会计师</w:t>
      </w:r>
      <w:r>
        <w:rPr>
          <w:rFonts w:hint="eastAsia" w:ascii="仿宋" w:hAnsi="仿宋" w:eastAsia="仿宋" w:cs="仿宋"/>
          <w:color w:val="000000" w:themeColor="text1"/>
          <w:sz w:val="32"/>
          <w:szCs w:val="32"/>
          <w14:textFill>
            <w14:solidFill>
              <w14:schemeClr w14:val="tx1"/>
            </w14:solidFill>
          </w14:textFill>
        </w:rPr>
        <w:t>人均业务收入在30万元以上、80万元（含）以下的为第二档，满分</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分，计算公式：</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人均业务收入-30万元）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（80万元-30万元）]×</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分；</w:t>
      </w:r>
    </w:p>
    <w:p w14:paraId="5E34D2FE">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3.注册会计师</w:t>
      </w:r>
      <w:r>
        <w:rPr>
          <w:rFonts w:hint="eastAsia" w:ascii="仿宋" w:hAnsi="仿宋" w:eastAsia="仿宋" w:cs="仿宋"/>
          <w:color w:val="000000" w:themeColor="text1"/>
          <w:sz w:val="32"/>
          <w:szCs w:val="32"/>
          <w14:textFill>
            <w14:solidFill>
              <w14:schemeClr w14:val="tx1"/>
            </w14:solidFill>
          </w14:textFill>
        </w:rPr>
        <w:t>人均业务收入在30万元（含）以下的为第</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档，满分</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分，计算公式：（</w:t>
      </w:r>
      <w:r>
        <w:rPr>
          <w:rFonts w:hint="eastAsia" w:ascii="仿宋" w:hAnsi="仿宋" w:eastAsia="仿宋" w:cs="仿宋"/>
          <w:color w:val="000000" w:themeColor="text1"/>
          <w:sz w:val="32"/>
          <w:szCs w:val="32"/>
          <w:lang w:val="en-US"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人均业务收入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30万元）×</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14:paraId="24B14B7C">
      <w:pPr>
        <w:keepNext w:val="0"/>
        <w:keepLines w:val="0"/>
        <w:pageBreakBefore w:val="0"/>
        <w:widowControl/>
        <w:numPr>
          <w:ilvl w:val="-1"/>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（四）</w:t>
      </w:r>
      <w:r>
        <w:rPr>
          <w:rFonts w:hint="eastAsia" w:ascii="仿宋" w:hAnsi="仿宋" w:eastAsia="仿宋" w:cs="仿宋"/>
          <w:color w:val="000000" w:themeColor="text1"/>
          <w:sz w:val="32"/>
          <w:szCs w:val="32"/>
          <w:lang w:val="en-US" w:eastAsia="zh-CN"/>
          <w14:textFill>
            <w14:solidFill>
              <w14:schemeClr w14:val="tx1"/>
            </w14:solidFill>
          </w14:textFill>
        </w:rPr>
        <w:t>执业超过5年且年龄在60周岁以内的注册会计师人数指标。</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3%，满分3分</w:t>
      </w:r>
      <w:r>
        <w:rPr>
          <w:rFonts w:hint="eastAsia" w:ascii="仿宋" w:hAnsi="仿宋" w:eastAsia="仿宋" w:cs="仿宋"/>
          <w:color w:val="000000" w:themeColor="text1"/>
          <w:sz w:val="32"/>
          <w:szCs w:val="32"/>
          <w14:textFill>
            <w14:solidFill>
              <w14:schemeClr w14:val="tx1"/>
            </w14:solidFill>
          </w14:textFill>
        </w:rPr>
        <w:t>。根据评价年度内事务所</w:t>
      </w:r>
      <w:r>
        <w:rPr>
          <w:rFonts w:ascii="方正仿宋_GB2312" w:hAnsi="方正仿宋_GB2312" w:eastAsia="方正仿宋_GB2312" w:cs="方正仿宋_GB2312"/>
          <w:color w:val="000000" w:themeColor="text1"/>
          <w:kern w:val="0"/>
          <w:sz w:val="32"/>
          <w:szCs w:val="32"/>
          <w:lang w:val="en-US" w:eastAsia="zh-CN" w:bidi="ar"/>
          <w14:textFill>
            <w14:solidFill>
              <w14:schemeClr w14:val="tx1"/>
            </w14:solidFill>
          </w14:textFill>
        </w:rPr>
        <w:t>符合</w:t>
      </w:r>
      <w:r>
        <w:rPr>
          <w:rFonts w:hint="eastAsia" w:ascii="仿宋" w:hAnsi="仿宋" w:eastAsia="仿宋" w:cs="仿宋"/>
          <w:color w:val="000000" w:themeColor="text1"/>
          <w:kern w:val="2"/>
          <w:sz w:val="32"/>
          <w:szCs w:val="32"/>
          <w:lang w:val="en-US" w:eastAsia="zh-CN" w:bidi="ar"/>
          <w14:textFill>
            <w14:solidFill>
              <w14:schemeClr w14:val="tx1"/>
            </w14:solidFill>
          </w14:textFill>
        </w:rPr>
        <w:t>条件的</w:t>
      </w:r>
      <w:r>
        <w:rPr>
          <w:rFonts w:hint="eastAsia" w:ascii="仿宋" w:hAnsi="仿宋" w:eastAsia="仿宋" w:cs="仿宋"/>
          <w:color w:val="000000" w:themeColor="text1"/>
          <w:sz w:val="32"/>
          <w:szCs w:val="32"/>
          <w:highlight w:val="none"/>
          <w:lang w:val="en-US" w:eastAsia="zh-CN"/>
          <w14:textFill>
            <w14:solidFill>
              <w14:schemeClr w14:val="tx1"/>
            </w14:solidFill>
          </w14:textFill>
        </w:rPr>
        <w:t>注册会计师</w:t>
      </w:r>
      <w:r>
        <w:rPr>
          <w:rFonts w:hint="eastAsia" w:ascii="仿宋" w:hAnsi="仿宋" w:eastAsia="仿宋" w:cs="仿宋"/>
          <w:color w:val="000000" w:themeColor="text1"/>
          <w:sz w:val="32"/>
          <w:szCs w:val="32"/>
          <w:lang w:val="en-US" w:eastAsia="zh-CN"/>
          <w14:textFill>
            <w14:solidFill>
              <w14:schemeClr w14:val="tx1"/>
            </w14:solidFill>
          </w14:textFill>
        </w:rPr>
        <w:t>人数</w:t>
      </w:r>
      <w:r>
        <w:rPr>
          <w:rFonts w:hint="eastAsia" w:ascii="仿宋" w:hAnsi="仿宋" w:eastAsia="仿宋" w:cs="仿宋"/>
          <w:color w:val="000000" w:themeColor="text1"/>
          <w:sz w:val="32"/>
          <w:szCs w:val="32"/>
          <w14:textFill>
            <w14:solidFill>
              <w14:schemeClr w14:val="tx1"/>
            </w14:solidFill>
          </w14:textFill>
        </w:rPr>
        <w:t>赋分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分四档计算。</w:t>
      </w:r>
    </w:p>
    <w:p w14:paraId="0D9281E2">
      <w:pPr>
        <w:keepNext w:val="0"/>
        <w:keepLines w:val="0"/>
        <w:pageBreakBefore w:val="0"/>
        <w:widowControl/>
        <w:numPr>
          <w:ilvl w:val="-1"/>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1.符合条件的注册会计师人数在30人以上的为第一档，满分3分，计算公式：2.5分+[(实有人数-30人)/(事务所符合条件的人数全省最高值-30人)]×0.5分；</w:t>
      </w:r>
    </w:p>
    <w:p w14:paraId="0B266821">
      <w:pPr>
        <w:keepNext w:val="0"/>
        <w:keepLines w:val="0"/>
        <w:pageBreakBefore w:val="0"/>
        <w:widowControl/>
        <w:numPr>
          <w:ilvl w:val="-1"/>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2.符合条件的注册会计师人数在15人以上，30人（含）以下的为第二档，满分2.5分，计算公式：2分+[(实有人数-15人)/（30人-15人）]×0.5分；</w:t>
      </w:r>
    </w:p>
    <w:p w14:paraId="15F3AA12">
      <w:pPr>
        <w:keepNext w:val="0"/>
        <w:keepLines w:val="0"/>
        <w:pageBreakBefore w:val="0"/>
        <w:widowControl/>
        <w:numPr>
          <w:ilvl w:val="-1"/>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3.符合条件的注册会计师人数在5人以上，15人（含）以下的为第三档，满分2分，计算公式：1.5分+[(实有人数-5人)/（15人-5人）)]×0.5分。</w:t>
      </w:r>
    </w:p>
    <w:p w14:paraId="5898280E">
      <w:pPr>
        <w:keepNext w:val="0"/>
        <w:keepLines w:val="0"/>
        <w:pageBreakBefore w:val="0"/>
        <w:widowControl/>
        <w:numPr>
          <w:ilvl w:val="-1"/>
          <w:numId w:val="0"/>
        </w:numPr>
        <w:kinsoku/>
        <w:wordWrap/>
        <w:overflowPunct/>
        <w:topLinePunct w:val="0"/>
        <w:autoSpaceDE/>
        <w:autoSpaceDN/>
        <w:bidi w:val="0"/>
        <w:adjustRightInd/>
        <w:snapToGrid/>
        <w:spacing w:line="620" w:lineRule="exact"/>
        <w:ind w:firstLine="640"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4.符合条件的注册会计师人数在5人（含）以下的为第四档，满分1.5分，计算公式：(实有人数/5人)×1.5分。</w:t>
      </w:r>
    </w:p>
    <w:p w14:paraId="680B314F">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（五）注册会计师平均年龄指标。指截至评价年度的12月31日,事务所注册会计师平均年龄。</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2%，满分2分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赋</w:t>
      </w:r>
      <w:r>
        <w:rPr>
          <w:rFonts w:hint="eastAsia" w:ascii="仿宋" w:hAnsi="仿宋" w:eastAsia="仿宋" w:cs="仿宋"/>
          <w:color w:val="000000" w:themeColor="text1"/>
          <w:sz w:val="32"/>
          <w:szCs w:val="32"/>
          <w14:textFill>
            <w14:solidFill>
              <w14:schemeClr w14:val="tx1"/>
            </w14:solidFill>
          </w14:textFill>
        </w:rPr>
        <w:t>分方法：</w:t>
      </w:r>
      <w:r>
        <w:rPr>
          <w:rFonts w:hint="eastAsia" w:ascii="仿宋" w:hAnsi="仿宋" w:eastAsia="仿宋" w:cs="仿宋"/>
          <w:color w:val="000000" w:themeColor="text1"/>
          <w:sz w:val="32"/>
          <w:szCs w:val="32"/>
          <w:lang w:val="en-US" w:eastAsia="zh-CN"/>
          <w14:textFill>
            <w14:solidFill>
              <w14:schemeClr w14:val="tx1"/>
            </w14:solidFill>
          </w14:textFill>
        </w:rPr>
        <w:t>事务所注册会计师</w:t>
      </w:r>
      <w:r>
        <w:rPr>
          <w:rFonts w:hint="eastAsia" w:ascii="仿宋" w:hAnsi="仿宋" w:eastAsia="仿宋" w:cs="仿宋"/>
          <w:color w:val="000000" w:themeColor="text1"/>
          <w:sz w:val="32"/>
          <w:szCs w:val="32"/>
          <w14:textFill>
            <w14:solidFill>
              <w14:schemeClr w14:val="tx1"/>
            </w14:solidFill>
          </w14:textFill>
        </w:rPr>
        <w:t>平均年龄</w:t>
      </w:r>
      <w:r>
        <w:rPr>
          <w:rFonts w:hint="eastAsia" w:ascii="仿宋" w:hAnsi="仿宋" w:eastAsia="仿宋" w:cs="仿宋"/>
          <w:color w:val="000000" w:themeColor="text1"/>
          <w:sz w:val="32"/>
          <w:szCs w:val="32"/>
          <w:lang w:val="en-US" w:eastAsia="zh-CN"/>
          <w14:textFill>
            <w14:solidFill>
              <w14:schemeClr w14:val="tx1"/>
            </w14:solidFill>
          </w14:textFill>
        </w:rPr>
        <w:t>小于等于全省</w:t>
      </w:r>
      <w:r>
        <w:rPr>
          <w:rFonts w:hint="eastAsia" w:ascii="仿宋" w:hAnsi="仿宋" w:eastAsia="仿宋" w:cs="仿宋"/>
          <w:color w:val="000000" w:themeColor="text1"/>
          <w:sz w:val="32"/>
          <w:szCs w:val="32"/>
          <w14:textFill>
            <w14:solidFill>
              <w14:schemeClr w14:val="tx1"/>
            </w14:solidFill>
          </w14:textFill>
        </w:rPr>
        <w:t>注册会计师平均年龄</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，得</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大于全省</w:t>
      </w:r>
      <w:r>
        <w:rPr>
          <w:rFonts w:hint="eastAsia" w:ascii="仿宋" w:hAnsi="仿宋" w:eastAsia="仿宋" w:cs="仿宋"/>
          <w:color w:val="000000" w:themeColor="text1"/>
          <w:sz w:val="32"/>
          <w:szCs w:val="32"/>
          <w14:textFill>
            <w14:solidFill>
              <w14:schemeClr w14:val="tx1"/>
            </w14:solidFill>
          </w14:textFill>
        </w:rPr>
        <w:t>注册会计师平均年龄</w:t>
      </w:r>
      <w:r>
        <w:rPr>
          <w:rFonts w:hint="eastAsia" w:ascii="仿宋" w:hAnsi="仿宋" w:eastAsia="仿宋" w:cs="仿宋"/>
          <w:color w:val="000000" w:themeColor="text1"/>
          <w:sz w:val="32"/>
          <w:szCs w:val="32"/>
          <w:lang w:eastAsia="zh-CN"/>
          <w14:textFill>
            <w14:solidFill>
              <w14:schemeClr w14:val="tx1"/>
            </w14:solidFill>
          </w14:textFill>
        </w:rPr>
        <w:t>，不得分</w:t>
      </w:r>
      <w:r>
        <w:rPr>
          <w:rFonts w:hint="eastAsia" w:ascii="仿宋" w:hAnsi="仿宋" w:eastAsia="仿宋" w:cs="仿宋"/>
          <w:color w:val="000000" w:themeColor="text1"/>
          <w:sz w:val="32"/>
          <w:szCs w:val="32"/>
          <w14:textFill>
            <w14:solidFill>
              <w14:schemeClr w14:val="tx1"/>
            </w14:solidFill>
          </w14:textFill>
        </w:rPr>
        <w:t>。</w:t>
      </w:r>
    </w:p>
    <w:p w14:paraId="03331DC9">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（六）人才培养支出水平指标。</w:t>
      </w:r>
      <w:r>
        <w:rPr>
          <w:rFonts w:hint="eastAsia" w:ascii="方正仿宋_GB2312" w:hAnsi="仿宋" w:eastAsia="方正仿宋_GB2312"/>
          <w:color w:val="000000" w:themeColor="text1"/>
          <w:sz w:val="32"/>
          <w:szCs w:val="32"/>
          <w14:textFill>
            <w14:solidFill>
              <w14:schemeClr w14:val="tx1"/>
            </w14:solidFill>
          </w14:textFill>
        </w:rPr>
        <w:t>指</w:t>
      </w:r>
      <w:r>
        <w:rPr>
          <w:rFonts w:hint="eastAsia" w:ascii="方正仿宋_GB2312" w:hAnsi="仿宋" w:eastAsia="方正仿宋_GB2312"/>
          <w:color w:val="000000" w:themeColor="text1"/>
          <w:sz w:val="32"/>
          <w:szCs w:val="32"/>
          <w:lang w:eastAsia="zh-CN"/>
          <w14:textFill>
            <w14:solidFill>
              <w14:schemeClr w14:val="tx1"/>
            </w14:solidFill>
          </w14:textFill>
        </w:rPr>
        <w:t>评价</w:t>
      </w:r>
      <w:r>
        <w:rPr>
          <w:rFonts w:hint="eastAsia" w:ascii="方正仿宋_GB2312" w:hAnsi="仿宋" w:eastAsia="方正仿宋_GB2312"/>
          <w:color w:val="000000" w:themeColor="text1"/>
          <w:sz w:val="32"/>
          <w:szCs w:val="32"/>
          <w14:textFill>
            <w14:solidFill>
              <w14:schemeClr w14:val="tx1"/>
            </w14:solidFill>
          </w14:textFill>
        </w:rPr>
        <w:t>年度事务所财务报表中的“人才培养支出”占年度业务收入的比率。（分所可按总所财务报表或分所自身财务报表中相关比率选择其一计算）人才培养支出指事务所境内外培训支出的合计数。</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2%，满分2分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赋分方法：</w:t>
      </w:r>
      <w:r>
        <w:rPr>
          <w:rFonts w:hint="eastAsia" w:ascii="仿宋" w:hAnsi="仿宋" w:eastAsia="仿宋" w:cs="仿宋"/>
          <w:color w:val="000000" w:themeColor="text1"/>
          <w:sz w:val="32"/>
          <w:szCs w:val="32"/>
          <w:lang w:val="en-US" w:eastAsia="zh-CN"/>
          <w14:textFill>
            <w14:solidFill>
              <w14:schemeClr w14:val="tx1"/>
            </w14:solidFill>
          </w14:textFill>
        </w:rPr>
        <w:t>事务所人才培养支出水平/全省事务所人才培养支出平均水平×100%，计算结果大于等于100%的，得2分；小于100%、大于等于75%的，得1.5分；小于75%、大于等于50%的，得1分；小于50%、大于等于25%的，得0.6分；小于25%、大于0%的，得0.3分；等于0的，不得分。</w:t>
      </w:r>
    </w:p>
    <w:p w14:paraId="0279E371">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（七）人才队伍建设指标。权重3%，满分3分。</w:t>
      </w:r>
    </w:p>
    <w:p w14:paraId="1F055CEC">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行业高端人才培养</w:t>
      </w:r>
      <w:r>
        <w:rPr>
          <w:rFonts w:hint="eastAsia" w:ascii="仿宋" w:hAnsi="仿宋" w:eastAsia="仿宋" w:cs="仿宋"/>
          <w:color w:val="000000" w:themeColor="text1"/>
          <w:sz w:val="32"/>
          <w:szCs w:val="32"/>
          <w:lang w:val="en-US" w:eastAsia="zh-CN"/>
          <w14:textFill>
            <w14:solidFill>
              <w14:schemeClr w14:val="tx1"/>
            </w14:solidFill>
          </w14:textFill>
        </w:rPr>
        <w:t>情况，满分为1分。</w:t>
      </w:r>
      <w:r>
        <w:rPr>
          <w:rFonts w:hint="eastAsia" w:ascii="仿宋" w:hAnsi="仿宋" w:eastAsia="仿宋" w:cs="仿宋"/>
          <w:color w:val="000000" w:themeColor="text1"/>
          <w:sz w:val="32"/>
          <w:szCs w:val="32"/>
          <w:lang w:eastAsia="zh-CN"/>
          <w14:textFill>
            <w14:solidFill>
              <w14:schemeClr w14:val="tx1"/>
            </w14:solidFill>
          </w14:textFill>
        </w:rPr>
        <w:t>赋</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方法：注册会计师被评为全国领军人才的，每人得0.5分；被评为省级领军人才或高端人才的，每人得0.2分；评价年度获得“注册会计师诚信执业30年”纪念章的，每人得0.5分。每个注册会计师本项最高加分不超过0.5分。</w:t>
      </w:r>
    </w:p>
    <w:p w14:paraId="74200579">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2.担任行业职务情况</w:t>
      </w:r>
      <w:r>
        <w:rPr>
          <w:rFonts w:hint="eastAsia" w:ascii="仿宋" w:hAnsi="仿宋" w:eastAsia="仿宋" w:cs="仿宋"/>
          <w:color w:val="000000" w:themeColor="text1"/>
          <w:kern w:val="0"/>
          <w:sz w:val="32"/>
          <w:szCs w:val="32"/>
          <w:lang w:val="en-US" w:eastAsia="zh-CN"/>
          <w14:textFill>
            <w14:solidFill>
              <w14:schemeClr w14:val="tx1"/>
            </w14:solidFill>
          </w14:textFill>
        </w:rPr>
        <w:t>，满分1分。</w:t>
      </w:r>
      <w:r>
        <w:rPr>
          <w:rFonts w:hint="eastAsia" w:ascii="仿宋" w:hAnsi="仿宋" w:eastAsia="仿宋" w:cs="仿宋"/>
          <w:color w:val="000000" w:themeColor="text1"/>
          <w:sz w:val="32"/>
          <w:szCs w:val="32"/>
          <w:lang w:eastAsia="zh-CN"/>
          <w14:textFill>
            <w14:solidFill>
              <w14:schemeClr w14:val="tx1"/>
            </w14:solidFill>
          </w14:textFill>
        </w:rPr>
        <w:t>赋</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方法</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注册会计师担任中注协理事、监事会成员或专门委员会委员的，每人得0.5分；担任省注协常务理事、监事会成员、专门委员会委员或省行业党委委员的，每人得0.2分。</w:t>
      </w:r>
      <w:r>
        <w:rPr>
          <w:rFonts w:hint="eastAsia" w:ascii="仿宋" w:hAnsi="仿宋" w:eastAsia="仿宋" w:cs="仿宋"/>
          <w:color w:val="000000" w:themeColor="text1"/>
          <w:sz w:val="32"/>
          <w:szCs w:val="32"/>
          <w14:textFill>
            <w14:solidFill>
              <w14:schemeClr w14:val="tx1"/>
            </w14:solidFill>
          </w14:textFill>
        </w:rPr>
        <w:t>同一</w:t>
      </w:r>
      <w:r>
        <w:rPr>
          <w:rFonts w:hint="eastAsia" w:ascii="仿宋" w:hAnsi="仿宋" w:eastAsia="仿宋" w:cs="仿宋"/>
          <w:color w:val="000000" w:themeColor="text1"/>
          <w:sz w:val="32"/>
          <w:szCs w:val="32"/>
          <w:lang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有多项任职的，按最高分值计算</w:t>
      </w:r>
      <w:r>
        <w:rPr>
          <w:rFonts w:hint="eastAsia" w:ascii="仿宋" w:hAnsi="仿宋" w:eastAsia="仿宋" w:cs="仿宋"/>
          <w:color w:val="000000" w:themeColor="text1"/>
          <w:sz w:val="32"/>
          <w:szCs w:val="32"/>
          <w:lang w:eastAsia="zh-CN"/>
          <w14:textFill>
            <w14:solidFill>
              <w14:schemeClr w14:val="tx1"/>
            </w14:solidFill>
          </w14:textFill>
        </w:rPr>
        <w:t>。</w:t>
      </w:r>
    </w:p>
    <w:p w14:paraId="780FD8B8">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3.从业人员参加注册会计师考试情况，满分1分。赋分方法：</w:t>
      </w:r>
      <w:r>
        <w:rPr>
          <w:rFonts w:hint="eastAsia" w:ascii="仿宋" w:hAnsi="仿宋" w:eastAsia="仿宋" w:cs="仿宋"/>
          <w:b w:val="0"/>
          <w:bCs w:val="0"/>
          <w:color w:val="000000" w:themeColor="text1"/>
          <w:sz w:val="32"/>
          <w:szCs w:val="32"/>
          <w:lang w:val="en-US" w:eastAsia="zh-CN"/>
          <w14:textFill>
            <w14:solidFill>
              <w14:schemeClr w14:val="tx1"/>
            </w14:solidFill>
          </w14:textFill>
        </w:rPr>
        <w:t>评价年度事务所从业人员参加注册会计师全国统一考试取得全科合格证的，每名得0.2分；入选省级“金银榜”考生的，每名得0.</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32"/>
          <w:szCs w:val="32"/>
          <w:lang w:val="en-US" w:eastAsia="zh-CN"/>
          <w14:textFill>
            <w14:solidFill>
              <w14:schemeClr w14:val="tx1"/>
            </w14:solidFill>
          </w14:textFill>
        </w:rPr>
        <w:t>分。</w:t>
      </w:r>
    </w:p>
    <w:p w14:paraId="3CDF1BC3">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（八）党群组织建设指标。权重2%，满分2分。赋分方法：事务所建立独立党组织的，得1分；建立联合党组织的，得0.5分；</w:t>
      </w:r>
      <w:r>
        <w:rPr>
          <w:rFonts w:hint="eastAsia" w:ascii="仿宋" w:hAnsi="仿宋" w:eastAsia="仿宋" w:cs="仿宋"/>
          <w:color w:val="000000" w:themeColor="text1"/>
          <w:sz w:val="32"/>
          <w:szCs w:val="32"/>
          <w:lang w:eastAsia="zh-CN"/>
          <w14:textFill>
            <w14:solidFill>
              <w14:schemeClr w14:val="tx1"/>
            </w14:solidFill>
          </w14:textFill>
        </w:rPr>
        <w:t>未建立党组织的，不得分。</w:t>
      </w:r>
      <w:r>
        <w:rPr>
          <w:rFonts w:hint="eastAsia" w:ascii="仿宋" w:hAnsi="仿宋" w:eastAsia="仿宋" w:cs="仿宋"/>
          <w:color w:val="000000" w:themeColor="text1"/>
          <w:sz w:val="32"/>
          <w:szCs w:val="32"/>
          <w:lang w:val="en-US" w:eastAsia="zh-CN"/>
          <w14:textFill>
            <w14:solidFill>
              <w14:schemeClr w14:val="tx1"/>
            </w14:solidFill>
          </w14:textFill>
        </w:rPr>
        <w:t>事务所成立全部群团组织（包括</w:t>
      </w:r>
      <w:r>
        <w:rPr>
          <w:rFonts w:hint="eastAsia" w:ascii="仿宋" w:hAnsi="仿宋" w:eastAsia="仿宋" w:cs="仿宋"/>
          <w:color w:val="000000" w:themeColor="text1"/>
          <w:sz w:val="32"/>
          <w:szCs w:val="32"/>
          <w:lang w:eastAsia="zh-CN"/>
          <w14:textFill>
            <w14:solidFill>
              <w14:schemeClr w14:val="tx1"/>
            </w14:solidFill>
          </w14:textFill>
        </w:rPr>
        <w:t>共青团、工会</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lang w:eastAsia="zh-CN"/>
          <w14:textFill>
            <w14:solidFill>
              <w14:schemeClr w14:val="tx1"/>
            </w14:solidFill>
          </w14:textFill>
        </w:rPr>
        <w:t>妇女组织</w:t>
      </w:r>
      <w:r>
        <w:rPr>
          <w:rFonts w:hint="eastAsia" w:ascii="仿宋" w:hAnsi="仿宋" w:eastAsia="仿宋" w:cs="仿宋"/>
          <w:color w:val="000000" w:themeColor="text1"/>
          <w:sz w:val="32"/>
          <w:szCs w:val="32"/>
          <w:lang w:val="en-US" w:eastAsia="zh-CN"/>
          <w14:textFill>
            <w14:solidFill>
              <w14:schemeClr w14:val="tx1"/>
            </w14:solidFill>
          </w14:textFill>
        </w:rPr>
        <w:t>）的，得1分；有成立群团组织但未全部建立的，得0.5分；未成立群团组织的，不得分</w:t>
      </w:r>
      <w:r>
        <w:rPr>
          <w:rFonts w:hint="eastAsia" w:ascii="仿宋" w:hAnsi="仿宋" w:eastAsia="仿宋" w:cs="仿宋"/>
          <w:color w:val="000000" w:themeColor="text1"/>
          <w:sz w:val="32"/>
          <w:szCs w:val="32"/>
          <w:lang w:eastAsia="zh-CN"/>
          <w14:textFill>
            <w14:solidFill>
              <w14:schemeClr w14:val="tx1"/>
            </w14:solidFill>
          </w14:textFill>
        </w:rPr>
        <w:t>。</w:t>
      </w:r>
    </w:p>
    <w:p w14:paraId="0D0FC379">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（九）增强党组织政治功能和组织功能指标。权重3%，满分3分。</w:t>
      </w:r>
    </w:p>
    <w:p w14:paraId="63AE67CB">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党组织书记任职情况，满分1分。赋分方法：事务所主任会计师（首席合伙人）或分所负责人担任党组织书记的，得1分；事务所其他合伙人（股东）或质量控制负责人担任党组织书记的，得0.5分；其他人员担任书记，不得分。</w:t>
      </w:r>
    </w:p>
    <w:p w14:paraId="0FDD1143">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2.合伙人（股东）党员比例，满分1分。</w:t>
      </w:r>
      <w:r>
        <w:rPr>
          <w:rFonts w:hint="eastAsia" w:ascii="仿宋" w:hAnsi="仿宋" w:eastAsia="仿宋" w:cs="仿宋"/>
          <w:color w:val="000000" w:themeColor="text1"/>
          <w:sz w:val="32"/>
          <w:szCs w:val="32"/>
          <w:lang w:eastAsia="zh-CN"/>
          <w14:textFill>
            <w14:solidFill>
              <w14:schemeClr w14:val="tx1"/>
            </w14:solidFill>
          </w14:textFill>
        </w:rPr>
        <w:t>指事务所党员合伙人（股东）数量占事务所全部合伙人（股东）数量的比率。该项满分为1分。</w:t>
      </w:r>
      <w:r>
        <w:rPr>
          <w:rFonts w:hint="eastAsia" w:ascii="仿宋" w:hAnsi="仿宋" w:eastAsia="仿宋" w:cs="仿宋"/>
          <w:color w:val="000000" w:themeColor="text1"/>
          <w:sz w:val="32"/>
          <w:szCs w:val="32"/>
          <w:lang w:val="en-US" w:eastAsia="zh-CN"/>
          <w14:textFill>
            <w14:solidFill>
              <w14:schemeClr w14:val="tx1"/>
            </w14:solidFill>
          </w14:textFill>
        </w:rPr>
        <w:t>赋分方法：</w:t>
      </w:r>
      <w:r>
        <w:rPr>
          <w:rFonts w:hint="eastAsia" w:ascii="仿宋" w:hAnsi="仿宋" w:eastAsia="仿宋" w:cs="仿宋"/>
          <w:color w:val="000000" w:themeColor="text1"/>
          <w:sz w:val="32"/>
          <w:szCs w:val="32"/>
          <w:lang w:eastAsia="zh-CN"/>
          <w14:textFill>
            <w14:solidFill>
              <w14:schemeClr w14:val="tx1"/>
            </w14:solidFill>
          </w14:textFill>
        </w:rPr>
        <w:t>合伙人（股东）党员比率/全省事务所平均比率，计算结果大于等于100%的，得1分；小于100%大于等于50%的，得0.8分；小于50%大于等于25%的，得0.5分；小于25%大于0的，得0.3分；等于0的，不得分。</w:t>
      </w:r>
    </w:p>
    <w:p w14:paraId="36DDC283">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党组织参与事务所决策管理情况，满分</w:t>
      </w:r>
      <w:r>
        <w:rPr>
          <w:rFonts w:hint="eastAsia" w:ascii="仿宋" w:hAnsi="仿宋" w:eastAsia="仿宋" w:cs="仿宋"/>
          <w:color w:val="000000" w:themeColor="text1"/>
          <w:sz w:val="32"/>
          <w:szCs w:val="32"/>
          <w:lang w:val="en-US" w:eastAsia="zh-CN"/>
          <w14:textFill>
            <w14:solidFill>
              <w14:schemeClr w14:val="tx1"/>
            </w14:solidFill>
          </w14:textFill>
        </w:rPr>
        <w:t>0.5分。赋分方法：</w:t>
      </w:r>
      <w:r>
        <w:rPr>
          <w:rFonts w:hint="eastAsia" w:ascii="仿宋" w:hAnsi="仿宋" w:eastAsia="仿宋" w:cs="仿宋"/>
          <w:color w:val="000000" w:themeColor="text1"/>
          <w:sz w:val="32"/>
          <w:szCs w:val="32"/>
          <w:lang w:eastAsia="zh-CN"/>
          <w14:textFill>
            <w14:solidFill>
              <w14:schemeClr w14:val="tx1"/>
            </w14:solidFill>
          </w14:textFill>
        </w:rPr>
        <w:t>事务所单独建立党组织参与事务所决策、管理、监督等相关制度的，得</w:t>
      </w:r>
      <w:r>
        <w:rPr>
          <w:rFonts w:hint="eastAsia" w:ascii="仿宋" w:hAnsi="仿宋" w:eastAsia="仿宋" w:cs="仿宋"/>
          <w:color w:val="000000" w:themeColor="text1"/>
          <w:sz w:val="32"/>
          <w:szCs w:val="32"/>
          <w:lang w:val="en-US" w:eastAsia="zh-CN"/>
          <w14:textFill>
            <w14:solidFill>
              <w14:schemeClr w14:val="tx1"/>
            </w14:solidFill>
          </w14:textFill>
        </w:rPr>
        <w:t>0.3</w:t>
      </w:r>
      <w:r>
        <w:rPr>
          <w:rFonts w:hint="eastAsia" w:ascii="仿宋" w:hAnsi="仿宋" w:eastAsia="仿宋" w:cs="仿宋"/>
          <w:color w:val="000000" w:themeColor="text1"/>
          <w:sz w:val="32"/>
          <w:szCs w:val="32"/>
          <w:lang w:eastAsia="zh-CN"/>
          <w14:textFill>
            <w14:solidFill>
              <w14:schemeClr w14:val="tx1"/>
            </w14:solidFill>
          </w14:textFill>
        </w:rPr>
        <w:t>分；落实制度有力有效，</w:t>
      </w:r>
      <w:r>
        <w:rPr>
          <w:rFonts w:hint="eastAsia" w:ascii="仿宋" w:hAnsi="仿宋" w:eastAsia="仿宋" w:cs="仿宋"/>
          <w:color w:val="000000" w:themeColor="text1"/>
          <w:sz w:val="32"/>
          <w:szCs w:val="32"/>
          <w14:textFill>
            <w14:solidFill>
              <w14:schemeClr w14:val="tx1"/>
            </w14:solidFill>
          </w14:textFill>
        </w:rPr>
        <w:t>重大事项经党组织</w:t>
      </w:r>
      <w:r>
        <w:rPr>
          <w:rFonts w:hint="eastAsia" w:ascii="仿宋" w:hAnsi="仿宋" w:eastAsia="仿宋" w:cs="仿宋"/>
          <w:color w:val="000000" w:themeColor="text1"/>
          <w:sz w:val="32"/>
          <w:szCs w:val="32"/>
          <w:lang w:eastAsia="zh-CN"/>
          <w14:textFill>
            <w14:solidFill>
              <w14:schemeClr w14:val="tx1"/>
            </w14:solidFill>
          </w14:textFill>
        </w:rPr>
        <w:t>把关后议定的，得</w:t>
      </w:r>
      <w:r>
        <w:rPr>
          <w:rFonts w:hint="eastAsia" w:ascii="仿宋" w:hAnsi="仿宋" w:eastAsia="仿宋" w:cs="仿宋"/>
          <w:color w:val="000000" w:themeColor="text1"/>
          <w:sz w:val="32"/>
          <w:szCs w:val="32"/>
          <w:lang w:val="en-US" w:eastAsia="zh-CN"/>
          <w14:textFill>
            <w14:solidFill>
              <w14:schemeClr w14:val="tx1"/>
            </w14:solidFill>
          </w14:textFill>
        </w:rPr>
        <w:t>0.2</w:t>
      </w:r>
      <w:r>
        <w:rPr>
          <w:rFonts w:hint="eastAsia" w:ascii="仿宋" w:hAnsi="仿宋" w:eastAsia="仿宋" w:cs="仿宋"/>
          <w:color w:val="000000" w:themeColor="text1"/>
          <w:sz w:val="32"/>
          <w:szCs w:val="32"/>
          <w:lang w:eastAsia="zh-CN"/>
          <w14:textFill>
            <w14:solidFill>
              <w14:schemeClr w14:val="tx1"/>
            </w14:solidFill>
          </w14:textFill>
        </w:rPr>
        <w:t>分。</w:t>
      </w:r>
    </w:p>
    <w:p w14:paraId="607DB1B1">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党内监督工作</w:t>
      </w:r>
      <w:r>
        <w:rPr>
          <w:rFonts w:hint="eastAsia" w:ascii="仿宋" w:hAnsi="仿宋" w:eastAsia="仿宋" w:cs="仿宋"/>
          <w:color w:val="000000" w:themeColor="text1"/>
          <w:sz w:val="32"/>
          <w:szCs w:val="32"/>
          <w:lang w:val="en-US" w:eastAsia="zh-CN"/>
          <w14:textFill>
            <w14:solidFill>
              <w14:schemeClr w14:val="tx1"/>
            </w14:solidFill>
          </w14:textFill>
        </w:rPr>
        <w:t>情况</w:t>
      </w:r>
      <w:r>
        <w:rPr>
          <w:rFonts w:hint="eastAsia" w:ascii="仿宋" w:hAnsi="仿宋" w:eastAsia="仿宋" w:cs="仿宋"/>
          <w:color w:val="000000" w:themeColor="text1"/>
          <w:sz w:val="32"/>
          <w:szCs w:val="32"/>
          <w:lang w:eastAsia="zh-CN"/>
          <w14:textFill>
            <w14:solidFill>
              <w14:schemeClr w14:val="tx1"/>
            </w14:solidFill>
          </w14:textFill>
        </w:rPr>
        <w:t>，满分</w:t>
      </w:r>
      <w:r>
        <w:rPr>
          <w:rFonts w:hint="eastAsia" w:ascii="仿宋" w:hAnsi="仿宋" w:eastAsia="仿宋" w:cs="仿宋"/>
          <w:color w:val="000000" w:themeColor="text1"/>
          <w:sz w:val="32"/>
          <w:szCs w:val="32"/>
          <w:lang w:val="en-US" w:eastAsia="zh-CN"/>
          <w14:textFill>
            <w14:solidFill>
              <w14:schemeClr w14:val="tx1"/>
            </w14:solidFill>
          </w14:textFill>
        </w:rPr>
        <w:t>0.5</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赋分方法：</w:t>
      </w:r>
      <w:r>
        <w:rPr>
          <w:rFonts w:hint="eastAsia" w:ascii="仿宋" w:hAnsi="仿宋" w:eastAsia="仿宋" w:cs="仿宋"/>
          <w:color w:val="000000" w:themeColor="text1"/>
          <w:sz w:val="32"/>
          <w:szCs w:val="32"/>
          <w:lang w:eastAsia="zh-CN"/>
          <w14:textFill>
            <w14:solidFill>
              <w14:schemeClr w14:val="tx1"/>
            </w14:solidFill>
          </w14:textFill>
        </w:rPr>
        <w:t>党组织建立纪检机构（设置纪检委员）的，得0.</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分；纪检书记（委员）由党员质量控制负责人担任的，得</w:t>
      </w:r>
      <w:r>
        <w:rPr>
          <w:rFonts w:hint="eastAsia" w:ascii="仿宋" w:hAnsi="仿宋" w:eastAsia="仿宋" w:cs="仿宋"/>
          <w:color w:val="000000" w:themeColor="text1"/>
          <w:sz w:val="32"/>
          <w:szCs w:val="32"/>
          <w:lang w:val="en-US" w:eastAsia="zh-CN"/>
          <w14:textFill>
            <w14:solidFill>
              <w14:schemeClr w14:val="tx1"/>
            </w14:solidFill>
          </w14:textFill>
        </w:rPr>
        <w:t>0.2</w:t>
      </w:r>
      <w:r>
        <w:rPr>
          <w:rFonts w:hint="eastAsia" w:ascii="仿宋" w:hAnsi="仿宋" w:eastAsia="仿宋" w:cs="仿宋"/>
          <w:color w:val="000000" w:themeColor="text1"/>
          <w:sz w:val="32"/>
          <w:szCs w:val="32"/>
          <w:lang w:eastAsia="zh-CN"/>
          <w14:textFill>
            <w14:solidFill>
              <w14:schemeClr w14:val="tx1"/>
            </w14:solidFill>
          </w14:textFill>
        </w:rPr>
        <w:t>分；履行党内监督主体责任，对涉及违规违纪的党员，用好监督执纪“四种形态”特别是第一种形态的，得</w:t>
      </w:r>
      <w:r>
        <w:rPr>
          <w:rFonts w:hint="eastAsia" w:ascii="仿宋" w:hAnsi="仿宋" w:eastAsia="仿宋" w:cs="仿宋"/>
          <w:color w:val="000000" w:themeColor="text1"/>
          <w:sz w:val="32"/>
          <w:szCs w:val="32"/>
          <w:lang w:val="en-US" w:eastAsia="zh-CN"/>
          <w14:textFill>
            <w14:solidFill>
              <w14:schemeClr w14:val="tx1"/>
            </w14:solidFill>
          </w14:textFill>
        </w:rPr>
        <w:t>0.1</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党组织在评价年度内未及时对所内涉违规违纪党员开展监督执纪的，党内监督工作整体不得分</w:t>
      </w:r>
      <w:r>
        <w:rPr>
          <w:rFonts w:hint="eastAsia" w:ascii="仿宋" w:hAnsi="仿宋" w:eastAsia="仿宋" w:cs="仿宋"/>
          <w:color w:val="000000" w:themeColor="text1"/>
          <w:sz w:val="32"/>
          <w:szCs w:val="32"/>
          <w:lang w:eastAsia="zh-CN"/>
          <w14:textFill>
            <w14:solidFill>
              <w14:schemeClr w14:val="tx1"/>
            </w14:solidFill>
          </w14:textFill>
        </w:rPr>
        <w:t>。</w:t>
      </w:r>
    </w:p>
    <w:p w14:paraId="39AA0FCA">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（十）信息化支出水平指标。</w:t>
      </w:r>
      <w:r>
        <w:rPr>
          <w:rFonts w:hint="eastAsia" w:ascii="方正仿宋_GB2312" w:hAnsi="仿宋" w:eastAsia="方正仿宋_GB2312"/>
          <w:color w:val="000000" w:themeColor="text1"/>
          <w:sz w:val="32"/>
          <w:szCs w:val="32"/>
          <w:highlight w:val="none"/>
          <w:shd w:val="clear" w:color="auto" w:fill="auto"/>
          <w14:textFill>
            <w14:solidFill>
              <w14:schemeClr w14:val="tx1"/>
            </w14:solidFill>
          </w14:textFill>
        </w:rPr>
        <w:t>指</w:t>
      </w:r>
      <w:r>
        <w:rPr>
          <w:rFonts w:hint="eastAsia" w:ascii="方正仿宋_GB2312" w:hAnsi="仿宋" w:eastAsia="方正仿宋_GB2312"/>
          <w:color w:val="000000" w:themeColor="text1"/>
          <w:sz w:val="32"/>
          <w:szCs w:val="32"/>
          <w:highlight w:val="none"/>
          <w:shd w:val="clear" w:color="auto" w:fill="auto"/>
          <w:lang w:eastAsia="zh-CN"/>
          <w14:textFill>
            <w14:solidFill>
              <w14:schemeClr w14:val="tx1"/>
            </w14:solidFill>
          </w14:textFill>
        </w:rPr>
        <w:t>评价年度</w:t>
      </w:r>
      <w:r>
        <w:rPr>
          <w:rFonts w:hint="eastAsia" w:ascii="方正仿宋_GB2312" w:hAnsi="仿宋" w:eastAsia="方正仿宋_GB2312"/>
          <w:color w:val="000000" w:themeColor="text1"/>
          <w:sz w:val="32"/>
          <w:szCs w:val="32"/>
          <w:highlight w:val="none"/>
          <w:shd w:val="clear" w:color="auto" w:fill="auto"/>
          <w14:textFill>
            <w14:solidFill>
              <w14:schemeClr w14:val="tx1"/>
            </w14:solidFill>
          </w14:textFill>
        </w:rPr>
        <w:t>事务所财务报表中的“信息化支出”占事务所年度业务收入的比率。信息化支出指审计软件开发费、管理信息系统开发费、软硬件采购费、软硬件运维费、网络服务费等支出</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2%，满分2分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赋分方法：</w:t>
      </w:r>
      <w:r>
        <w:rPr>
          <w:rFonts w:hint="eastAsia" w:ascii="仿宋" w:hAnsi="仿宋" w:eastAsia="仿宋" w:cs="仿宋"/>
          <w:color w:val="000000" w:themeColor="text1"/>
          <w:sz w:val="32"/>
          <w:szCs w:val="32"/>
          <w:lang w:val="en-US" w:eastAsia="zh-CN"/>
          <w14:textFill>
            <w14:solidFill>
              <w14:schemeClr w14:val="tx1"/>
            </w14:solidFill>
          </w14:textFill>
        </w:rPr>
        <w:t>事务所信息化支出水平/全省事务所信息化支出平均水平×100%，计算结果大于等于100%的，得2分；小于100%、大于等于75%的，得1.5分；小于75%、大于等于50%的，得1分；小于50%、大于等于25%的，得0.6分；小于25%、大于0%的，得0.3分；等于0的，不得分。</w:t>
      </w:r>
    </w:p>
    <w:p w14:paraId="2592536F">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（十一）一体化管理情况指标。指评价年度事务所在“人事、财务、业务、技术标准、信息管理”等方面的一体化程度。</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1%，满分1分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根据“注册会计师行业统一监管平台——一体化管理报告系统”的事务所得分分级赋分：报告系统中得分330分以上的，得1分；报告系统中得分300分以上但不到330分的，得0.6分；报告系统中得分200分以上但不到300分的，得0.3分；报告系统中得分不到200分的，不得分。事务所分所按照总所分值计分。</w:t>
      </w:r>
    </w:p>
    <w:p w14:paraId="2B8C47E9">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（十二）品牌延续时间指标。</w:t>
      </w:r>
      <w:r>
        <w:rPr>
          <w:rFonts w:hint="eastAsia" w:ascii="方正仿宋_GB2312" w:hAnsi="仿宋" w:eastAsia="方正仿宋_GB2312"/>
          <w:color w:val="000000" w:themeColor="text1"/>
          <w:sz w:val="32"/>
          <w:szCs w:val="32"/>
          <w:highlight w:val="none"/>
          <w:shd w:val="clear" w:color="auto" w:fill="auto"/>
          <w14:textFill>
            <w14:solidFill>
              <w14:schemeClr w14:val="tx1"/>
            </w14:solidFill>
          </w14:textFill>
        </w:rPr>
        <w:t>指事务所现用名称的使用年限</w:t>
      </w:r>
      <w:r>
        <w:rPr>
          <w:rFonts w:hint="eastAsia" w:ascii="方正仿宋_GB2312" w:hAnsi="仿宋" w:eastAsia="方正仿宋_GB2312"/>
          <w:color w:val="000000" w:themeColor="text1"/>
          <w:sz w:val="32"/>
          <w:szCs w:val="32"/>
          <w:highlight w:val="none"/>
          <w:shd w:val="clear" w:color="auto" w:fill="auto"/>
          <w:lang w:eastAsia="zh-CN"/>
          <w14:textFill>
            <w14:solidFill>
              <w14:schemeClr w14:val="tx1"/>
            </w14:solidFill>
          </w14:textFill>
        </w:rPr>
        <w:t>，</w:t>
      </w:r>
      <w:r>
        <w:rPr>
          <w:rFonts w:hint="eastAsia" w:ascii="方正仿宋_GB2312" w:hAnsi="仿宋" w:eastAsia="方正仿宋_GB2312"/>
          <w:color w:val="000000" w:themeColor="text1"/>
          <w:sz w:val="32"/>
          <w:szCs w:val="32"/>
          <w14:textFill>
            <w14:solidFill>
              <w14:schemeClr w14:val="tx1"/>
            </w14:solidFill>
          </w14:textFill>
        </w:rPr>
        <w:t>变更组织形式或去掉地域名称，视为延续。</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2%，满分2分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赋</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方法</w:t>
      </w:r>
      <w:r>
        <w:rPr>
          <w:rFonts w:hint="eastAsia" w:ascii="仿宋" w:hAnsi="仿宋" w:eastAsia="仿宋" w:cs="仿宋"/>
          <w:color w:val="000000" w:themeColor="text1"/>
          <w:sz w:val="32"/>
          <w:szCs w:val="32"/>
          <w14:textFill>
            <w14:solidFill>
              <w14:schemeClr w14:val="tx1"/>
            </w14:solidFill>
          </w14:textFill>
        </w:rPr>
        <w:t>：</w:t>
      </w:r>
      <w:r>
        <w:rPr>
          <w:rFonts w:hint="eastAsia" w:ascii="方正仿宋_GB2312" w:hAnsi="仿宋" w:eastAsia="方正仿宋_GB2312"/>
          <w:color w:val="000000" w:themeColor="text1"/>
          <w:sz w:val="32"/>
          <w:szCs w:val="32"/>
          <w:highlight w:val="none"/>
          <w:shd w:val="clear" w:color="auto" w:fill="auto"/>
          <w14:textFill>
            <w14:solidFill>
              <w14:schemeClr w14:val="tx1"/>
            </w14:solidFill>
          </w14:textFill>
        </w:rPr>
        <w:t>事务所现用名称</w:t>
      </w:r>
      <w:r>
        <w:rPr>
          <w:rFonts w:hint="eastAsia" w:ascii="仿宋" w:hAnsi="仿宋" w:eastAsia="仿宋" w:cs="仿宋"/>
          <w:color w:val="000000" w:themeColor="text1"/>
          <w:sz w:val="32"/>
          <w:szCs w:val="32"/>
          <w14:textFill>
            <w14:solidFill>
              <w14:schemeClr w14:val="tx1"/>
            </w14:solidFill>
          </w14:textFill>
        </w:rPr>
        <w:t>使用20年（含）以上的，得</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分；15年（含）以上20年以下的，得</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分；10年（含）以上15年以下的，得</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分；5年（含）以上10年以下的，得</w:t>
      </w:r>
      <w:r>
        <w:rPr>
          <w:rFonts w:hint="eastAsia" w:ascii="仿宋" w:hAnsi="仿宋" w:eastAsia="仿宋" w:cs="仿宋"/>
          <w:color w:val="000000" w:themeColor="text1"/>
          <w:sz w:val="32"/>
          <w:szCs w:val="32"/>
          <w:lang w:val="en-US" w:eastAsia="zh-CN"/>
          <w14:textFill>
            <w14:solidFill>
              <w14:schemeClr w14:val="tx1"/>
            </w14:solidFill>
          </w14:textFill>
        </w:rPr>
        <w:t>0.5</w:t>
      </w:r>
      <w:r>
        <w:rPr>
          <w:rFonts w:hint="eastAsia" w:ascii="仿宋" w:hAnsi="仿宋" w:eastAsia="仿宋" w:cs="仿宋"/>
          <w:color w:val="000000" w:themeColor="text1"/>
          <w:sz w:val="32"/>
          <w:szCs w:val="32"/>
          <w14:textFill>
            <w14:solidFill>
              <w14:schemeClr w14:val="tx1"/>
            </w14:solidFill>
          </w14:textFill>
        </w:rPr>
        <w:t>分；5年以下的，</w:t>
      </w:r>
      <w:r>
        <w:rPr>
          <w:rFonts w:hint="eastAsia" w:ascii="仿宋" w:hAnsi="仿宋" w:eastAsia="仿宋" w:cs="仿宋"/>
          <w:color w:val="000000" w:themeColor="text1"/>
          <w:sz w:val="32"/>
          <w:szCs w:val="32"/>
          <w:lang w:val="en-US" w:eastAsia="zh-CN"/>
          <w14:textFill>
            <w14:solidFill>
              <w14:schemeClr w14:val="tx1"/>
            </w14:solidFill>
          </w14:textFill>
        </w:rPr>
        <w:t>不得分</w:t>
      </w:r>
      <w:r>
        <w:rPr>
          <w:rFonts w:hint="eastAsia" w:ascii="仿宋" w:hAnsi="仿宋" w:eastAsia="仿宋" w:cs="仿宋"/>
          <w:color w:val="000000" w:themeColor="text1"/>
          <w:sz w:val="32"/>
          <w:szCs w:val="32"/>
          <w14:textFill>
            <w14:solidFill>
              <w14:schemeClr w14:val="tx1"/>
            </w14:solidFill>
          </w14:textFill>
        </w:rPr>
        <w:t>。</w:t>
      </w:r>
    </w:p>
    <w:p w14:paraId="124E07FC">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十三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承担行业责任情况指标。</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4%，满分4分</w:t>
      </w:r>
      <w:r>
        <w:rPr>
          <w:rFonts w:hint="eastAsia" w:ascii="仿宋" w:hAnsi="仿宋" w:eastAsia="仿宋" w:cs="仿宋"/>
          <w:color w:val="000000" w:themeColor="text1"/>
          <w:sz w:val="32"/>
          <w:szCs w:val="32"/>
          <w14:textFill>
            <w14:solidFill>
              <w14:schemeClr w14:val="tx1"/>
            </w14:solidFill>
          </w14:textFill>
        </w:rPr>
        <w:t>。</w:t>
      </w:r>
    </w:p>
    <w:p w14:paraId="56C536B7">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1.担任两代表一委员情况</w:t>
      </w:r>
      <w:r>
        <w:rPr>
          <w:rFonts w:hint="eastAsia" w:ascii="仿宋" w:hAnsi="仿宋" w:eastAsia="仿宋" w:cs="仿宋"/>
          <w:color w:val="000000" w:themeColor="text1"/>
          <w:kern w:val="0"/>
          <w:sz w:val="32"/>
          <w:szCs w:val="32"/>
          <w:lang w:val="en-US" w:eastAsia="zh-CN"/>
          <w14:textFill>
            <w14:solidFill>
              <w14:schemeClr w14:val="tx1"/>
            </w14:solidFill>
          </w14:textFill>
        </w:rPr>
        <w:t>。指在评价</w:t>
      </w:r>
      <w:r>
        <w:rPr>
          <w:rFonts w:hint="eastAsia" w:ascii="仿宋" w:hAnsi="仿宋" w:eastAsia="仿宋" w:cs="仿宋"/>
          <w:color w:val="000000" w:themeColor="text1"/>
          <w:kern w:val="0"/>
          <w:sz w:val="32"/>
          <w:szCs w:val="32"/>
          <w14:textFill>
            <w14:solidFill>
              <w14:schemeClr w14:val="tx1"/>
            </w14:solidFill>
          </w14:textFill>
        </w:rPr>
        <w:t>年度内，事务所注册会计师经相关部门确认的应届人大代表、政协委员、党代表的人数</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满分1分。</w:t>
      </w:r>
      <w:r>
        <w:rPr>
          <w:rFonts w:hint="eastAsia" w:ascii="仿宋" w:hAnsi="仿宋" w:eastAsia="仿宋" w:cs="仿宋"/>
          <w:color w:val="000000" w:themeColor="text1"/>
          <w:sz w:val="32"/>
          <w:szCs w:val="32"/>
          <w:lang w:eastAsia="zh-CN"/>
          <w14:textFill>
            <w14:solidFill>
              <w14:schemeClr w14:val="tx1"/>
            </w14:solidFill>
          </w14:textFill>
        </w:rPr>
        <w:t>赋</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方法</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国家级人大代表、政协委员、党代表，每名</w:t>
      </w:r>
      <w:r>
        <w:rPr>
          <w:rFonts w:hint="eastAsia" w:ascii="仿宋" w:hAnsi="仿宋" w:eastAsia="仿宋" w:cs="仿宋"/>
          <w:color w:val="000000" w:themeColor="text1"/>
          <w:kern w:val="0"/>
          <w:sz w:val="32"/>
          <w:szCs w:val="32"/>
          <w:lang w:eastAsia="zh-CN"/>
          <w14:textFill>
            <w14:solidFill>
              <w14:schemeClr w14:val="tx1"/>
            </w14:solidFill>
          </w14:textFill>
        </w:rPr>
        <w:t>得</w:t>
      </w:r>
      <w:r>
        <w:rPr>
          <w:rFonts w:hint="eastAsia" w:ascii="仿宋" w:hAnsi="仿宋" w:eastAsia="仿宋" w:cs="仿宋"/>
          <w:color w:val="000000" w:themeColor="text1"/>
          <w:kern w:val="0"/>
          <w:sz w:val="32"/>
          <w:szCs w:val="32"/>
          <w:lang w:val="en-US" w:eastAsia="zh-CN"/>
          <w14:textFill>
            <w14:solidFill>
              <w14:schemeClr w14:val="tx1"/>
            </w14:solidFill>
          </w14:textFill>
        </w:rPr>
        <w:t>1分</w:t>
      </w:r>
      <w:r>
        <w:rPr>
          <w:rFonts w:hint="eastAsia" w:ascii="仿宋" w:hAnsi="仿宋" w:eastAsia="仿宋" w:cs="仿宋"/>
          <w:color w:val="000000" w:themeColor="text1"/>
          <w:kern w:val="0"/>
          <w:sz w:val="32"/>
          <w:szCs w:val="32"/>
          <w14:textFill>
            <w14:solidFill>
              <w14:schemeClr w14:val="tx1"/>
            </w14:solidFill>
          </w14:textFill>
        </w:rPr>
        <w:t>；省级人大代表、政协委员、党代表，每名</w:t>
      </w:r>
      <w:r>
        <w:rPr>
          <w:rFonts w:hint="eastAsia" w:ascii="仿宋" w:hAnsi="仿宋" w:eastAsia="仿宋" w:cs="仿宋"/>
          <w:color w:val="000000" w:themeColor="text1"/>
          <w:kern w:val="0"/>
          <w:sz w:val="32"/>
          <w:szCs w:val="32"/>
          <w:lang w:eastAsia="zh-CN"/>
          <w14:textFill>
            <w14:solidFill>
              <w14:schemeClr w14:val="tx1"/>
            </w14:solidFill>
          </w14:textFill>
        </w:rPr>
        <w:t>得</w:t>
      </w:r>
      <w:r>
        <w:rPr>
          <w:rFonts w:hint="eastAsia" w:ascii="仿宋" w:hAnsi="仿宋" w:eastAsia="仿宋" w:cs="仿宋"/>
          <w:color w:val="000000" w:themeColor="text1"/>
          <w:kern w:val="0"/>
          <w:sz w:val="32"/>
          <w:szCs w:val="32"/>
          <w:lang w:val="en-US" w:eastAsia="zh-CN"/>
          <w14:textFill>
            <w14:solidFill>
              <w14:schemeClr w14:val="tx1"/>
            </w14:solidFill>
          </w14:textFill>
        </w:rPr>
        <w:t>0.5</w:t>
      </w:r>
      <w:r>
        <w:rPr>
          <w:rFonts w:hint="eastAsia" w:ascii="仿宋" w:hAnsi="仿宋" w:eastAsia="仿宋" w:cs="仿宋"/>
          <w:color w:val="000000" w:themeColor="text1"/>
          <w:kern w:val="0"/>
          <w:sz w:val="32"/>
          <w:szCs w:val="32"/>
          <w14:textFill>
            <w14:solidFill>
              <w14:schemeClr w14:val="tx1"/>
            </w14:solidFill>
          </w14:textFill>
        </w:rPr>
        <w:t>分；市县级人大代表、政协委员、党代表，每名</w:t>
      </w:r>
      <w:r>
        <w:rPr>
          <w:rFonts w:hint="eastAsia" w:ascii="仿宋" w:hAnsi="仿宋" w:eastAsia="仿宋" w:cs="仿宋"/>
          <w:color w:val="000000" w:themeColor="text1"/>
          <w:kern w:val="0"/>
          <w:sz w:val="32"/>
          <w:szCs w:val="32"/>
          <w:lang w:eastAsia="zh-CN"/>
          <w14:textFill>
            <w14:solidFill>
              <w14:schemeClr w14:val="tx1"/>
            </w14:solidFill>
          </w14:textFill>
        </w:rPr>
        <w:t>得</w:t>
      </w:r>
      <w:r>
        <w:rPr>
          <w:rFonts w:hint="eastAsia" w:ascii="仿宋" w:hAnsi="仿宋" w:eastAsia="仿宋" w:cs="仿宋"/>
          <w:color w:val="000000" w:themeColor="text1"/>
          <w:kern w:val="0"/>
          <w:sz w:val="32"/>
          <w:szCs w:val="32"/>
          <w:lang w:val="en-US" w:eastAsia="zh-CN"/>
          <w14:textFill>
            <w14:solidFill>
              <w14:schemeClr w14:val="tx1"/>
            </w14:solidFill>
          </w14:textFill>
        </w:rPr>
        <w:t>0.3</w:t>
      </w:r>
      <w:r>
        <w:rPr>
          <w:rFonts w:hint="eastAsia" w:ascii="仿宋" w:hAnsi="仿宋" w:eastAsia="仿宋" w:cs="仿宋"/>
          <w:color w:val="000000" w:themeColor="text1"/>
          <w:kern w:val="0"/>
          <w:sz w:val="32"/>
          <w:szCs w:val="32"/>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同一</w:t>
      </w:r>
      <w:r>
        <w:rPr>
          <w:rFonts w:hint="eastAsia" w:ascii="仿宋" w:hAnsi="仿宋" w:eastAsia="仿宋" w:cs="仿宋"/>
          <w:color w:val="000000" w:themeColor="text1"/>
          <w:sz w:val="32"/>
          <w:szCs w:val="32"/>
          <w:lang w:eastAsia="zh-CN"/>
          <w14:textFill>
            <w14:solidFill>
              <w14:schemeClr w14:val="tx1"/>
            </w14:solidFill>
          </w14:textFill>
        </w:rPr>
        <w:t>注册会计师</w:t>
      </w:r>
      <w:r>
        <w:rPr>
          <w:rFonts w:hint="eastAsia" w:ascii="仿宋" w:hAnsi="仿宋" w:eastAsia="仿宋" w:cs="仿宋"/>
          <w:color w:val="000000" w:themeColor="text1"/>
          <w:sz w:val="32"/>
          <w:szCs w:val="32"/>
          <w14:textFill>
            <w14:solidFill>
              <w14:schemeClr w14:val="tx1"/>
            </w14:solidFill>
          </w14:textFill>
        </w:rPr>
        <w:t>有多项任职的，按最高分值计算</w:t>
      </w:r>
      <w:r>
        <w:rPr>
          <w:rFonts w:hint="eastAsia" w:ascii="仿宋" w:hAnsi="仿宋" w:eastAsia="仿宋" w:cs="仿宋"/>
          <w:color w:val="000000" w:themeColor="text1"/>
          <w:sz w:val="32"/>
          <w:szCs w:val="32"/>
          <w:lang w:eastAsia="zh-CN"/>
          <w14:textFill>
            <w14:solidFill>
              <w14:schemeClr w14:val="tx1"/>
            </w14:solidFill>
          </w14:textFill>
        </w:rPr>
        <w:t>。</w:t>
      </w:r>
    </w:p>
    <w:p w14:paraId="24493008">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2.向省注协投稿情况。指评价年度内事务所向省注协报送简讯、省注协公开征集的各类典型经验或品牌建设宣传案例、“行业审计问题风险提示”文章、行业短视频展播作品、被采纳的数量，满分1分。</w:t>
      </w:r>
      <w:r>
        <w:rPr>
          <w:rFonts w:hint="eastAsia" w:ascii="仿宋" w:hAnsi="仿宋" w:eastAsia="仿宋" w:cs="仿宋"/>
          <w:color w:val="000000" w:themeColor="text1"/>
          <w:sz w:val="32"/>
          <w:szCs w:val="32"/>
          <w:lang w:eastAsia="zh-CN"/>
          <w14:textFill>
            <w14:solidFill>
              <w14:schemeClr w14:val="tx1"/>
            </w14:solidFill>
          </w14:textFill>
        </w:rPr>
        <w:t>赋</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方法</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每篇简讯得0.1分，每篇案例或文章得0.2分，每个短视频展播作品得0.3分。</w:t>
      </w:r>
    </w:p>
    <w:p w14:paraId="1F290298">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3.人才行业贡献情况，满分2分</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赋</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方法</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事务所注册会计师入选全国检查人员库、专家库或实际参与全国行业检查每人得0.2分，入选省级检查人员库、专家库或参与省内行业检查每人得0.1分；担任中注协培训班授课人每人得0.2分，担任省注协培训班授课人每人得0.1分；以专家身份参与中注协准则制定、行业研究、以及注册会计师考试出卷或批阅考卷的，每人次得0.2分；</w:t>
      </w:r>
      <w:r>
        <w:rPr>
          <w:rFonts w:hint="eastAsia" w:ascii="仿宋" w:hAnsi="仿宋" w:eastAsia="仿宋" w:cs="仿宋"/>
          <w:color w:val="000000" w:themeColor="text1"/>
          <w:kern w:val="0"/>
          <w:sz w:val="32"/>
          <w:szCs w:val="32"/>
          <w14:textFill>
            <w14:solidFill>
              <w14:schemeClr w14:val="tx1"/>
            </w14:solidFill>
          </w14:textFill>
        </w:rPr>
        <w:t>注册会计师在国家核心刊物发表文章每篇</w:t>
      </w:r>
      <w:r>
        <w:rPr>
          <w:rFonts w:hint="eastAsia" w:ascii="仿宋" w:hAnsi="仿宋" w:eastAsia="仿宋" w:cs="仿宋"/>
          <w:color w:val="000000" w:themeColor="text1"/>
          <w:kern w:val="0"/>
          <w:sz w:val="32"/>
          <w:szCs w:val="32"/>
          <w:lang w:eastAsia="zh-CN"/>
          <w14:textFill>
            <w14:solidFill>
              <w14:schemeClr w14:val="tx1"/>
            </w14:solidFill>
          </w14:textFill>
        </w:rPr>
        <w:t>得</w:t>
      </w:r>
      <w:r>
        <w:rPr>
          <w:rFonts w:hint="eastAsia" w:ascii="仿宋" w:hAnsi="仿宋" w:eastAsia="仿宋" w:cs="仿宋"/>
          <w:color w:val="000000" w:themeColor="text1"/>
          <w:kern w:val="0"/>
          <w:sz w:val="32"/>
          <w:szCs w:val="32"/>
          <w:lang w:val="en-US" w:eastAsia="zh-CN"/>
          <w14:textFill>
            <w14:solidFill>
              <w14:schemeClr w14:val="tx1"/>
            </w14:solidFill>
          </w14:textFill>
        </w:rPr>
        <w:t>0.</w:t>
      </w:r>
      <w:r>
        <w:rPr>
          <w:rFonts w:hint="eastAsia" w:ascii="仿宋" w:hAnsi="仿宋" w:eastAsia="仿宋" w:cs="仿宋"/>
          <w:color w:val="000000" w:themeColor="text1"/>
          <w:kern w:val="0"/>
          <w:sz w:val="32"/>
          <w:szCs w:val="32"/>
          <w14:textFill>
            <w14:solidFill>
              <w14:schemeClr w14:val="tx1"/>
            </w14:solidFill>
          </w14:textFill>
        </w:rPr>
        <w:t>2分，在一般刊物（CN刊号）发表文章每篇</w:t>
      </w:r>
      <w:r>
        <w:rPr>
          <w:rFonts w:hint="eastAsia" w:ascii="仿宋" w:hAnsi="仿宋" w:eastAsia="仿宋" w:cs="仿宋"/>
          <w:color w:val="000000" w:themeColor="text1"/>
          <w:kern w:val="0"/>
          <w:sz w:val="32"/>
          <w:szCs w:val="32"/>
          <w:lang w:eastAsia="zh-CN"/>
          <w14:textFill>
            <w14:solidFill>
              <w14:schemeClr w14:val="tx1"/>
            </w14:solidFill>
          </w14:textFill>
        </w:rPr>
        <w:t>得</w:t>
      </w:r>
      <w:r>
        <w:rPr>
          <w:rFonts w:hint="eastAsia" w:ascii="仿宋" w:hAnsi="仿宋" w:eastAsia="仿宋" w:cs="仿宋"/>
          <w:color w:val="000000" w:themeColor="text1"/>
          <w:kern w:val="0"/>
          <w:sz w:val="32"/>
          <w:szCs w:val="32"/>
          <w:lang w:val="en-US" w:eastAsia="zh-CN"/>
          <w14:textFill>
            <w14:solidFill>
              <w14:schemeClr w14:val="tx1"/>
            </w14:solidFill>
          </w14:textFill>
        </w:rPr>
        <w:t>0.</w:t>
      </w:r>
      <w:r>
        <w:rPr>
          <w:rFonts w:hint="eastAsia" w:ascii="仿宋" w:hAnsi="仿宋" w:eastAsia="仿宋" w:cs="仿宋"/>
          <w:color w:val="000000" w:themeColor="text1"/>
          <w:kern w:val="0"/>
          <w:sz w:val="32"/>
          <w:szCs w:val="32"/>
          <w14:textFill>
            <w14:solidFill>
              <w14:schemeClr w14:val="tx1"/>
            </w14:solidFill>
          </w14:textFill>
        </w:rPr>
        <w:t>1分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事务所撰写行业法规政策反馈意见被中注协或省级以上政府部门采纳的，每项采纳意见计0.2分。</w:t>
      </w:r>
    </w:p>
    <w:p w14:paraId="135959E5">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十四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公益慈善及评优表彰情况指标。</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1%，满分1分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赋</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方法</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参加各级注协组织的各类公益性活动，每次得0.1分；参加各类公益性捐赠活动，捐赠价值满1万元得0.2分。事务所、党团组织或注册会计师、党员、团员获国家级层面表彰，每次得0.3分；受省级以上（含省级）组织和部门表彰的，每次得0.2分；受市级以上组织和部门表彰的，每次得0.1分。参加省级以上注册会计师行业相关活动或比赛的事务所，获得一等奖，每人（次）得0.2分；其他名次，每人（次）得0.1分。团体奖项按次计算。</w:t>
      </w:r>
    </w:p>
    <w:p w14:paraId="6D0221BC">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十五</w:t>
      </w:r>
      <w:r>
        <w:rPr>
          <w:rFonts w:hint="eastAsia" w:ascii="仿宋" w:hAnsi="仿宋" w:eastAsia="仿宋" w:cs="仿宋"/>
          <w:color w:val="000000" w:themeColor="text1"/>
          <w:sz w:val="32"/>
          <w:szCs w:val="32"/>
          <w:lang w:eastAsia="zh-CN"/>
          <w14:textFill>
            <w14:solidFill>
              <w14:schemeClr w14:val="tx1"/>
            </w14:solidFill>
          </w14:textFill>
        </w:rPr>
        <w:t>）事务所</w:t>
      </w:r>
      <w:r>
        <w:rPr>
          <w:rFonts w:hint="eastAsia" w:ascii="仿宋" w:hAnsi="仿宋" w:eastAsia="仿宋" w:cs="仿宋"/>
          <w:color w:val="000000" w:themeColor="text1"/>
          <w:sz w:val="32"/>
          <w:szCs w:val="32"/>
          <w:lang w:val="en-US" w:eastAsia="zh-CN"/>
          <w14:textFill>
            <w14:solidFill>
              <w14:schemeClr w14:val="tx1"/>
            </w14:solidFill>
          </w14:textFill>
        </w:rPr>
        <w:t>及注册会计师</w:t>
      </w:r>
      <w:r>
        <w:rPr>
          <w:rFonts w:hint="eastAsia" w:ascii="仿宋" w:hAnsi="仿宋" w:eastAsia="仿宋" w:cs="仿宋"/>
          <w:color w:val="000000" w:themeColor="text1"/>
          <w:sz w:val="32"/>
          <w:szCs w:val="32"/>
          <w:lang w:eastAsia="zh-CN"/>
          <w14:textFill>
            <w14:solidFill>
              <w14:schemeClr w14:val="tx1"/>
            </w14:solidFill>
          </w14:textFill>
        </w:rPr>
        <w:t>受处罚情况</w:t>
      </w:r>
      <w:r>
        <w:rPr>
          <w:rFonts w:hint="eastAsia" w:ascii="仿宋" w:hAnsi="仿宋" w:eastAsia="仿宋" w:cs="仿宋"/>
          <w:color w:val="000000" w:themeColor="text1"/>
          <w:sz w:val="32"/>
          <w:szCs w:val="32"/>
          <w:lang w:val="en-US" w:eastAsia="zh-CN"/>
          <w14:textFill>
            <w14:solidFill>
              <w14:schemeClr w14:val="tx1"/>
            </w14:solidFill>
          </w14:textFill>
        </w:rPr>
        <w:t>指标。指最近三个年度，事务所及注册会计师因执业行为受到刑事处罚、行政处罚和行业惩戒的情况。</w:t>
      </w:r>
      <w:r>
        <w:rPr>
          <w:rFonts w:hint="eastAsia" w:ascii="仿宋" w:hAnsi="仿宋" w:eastAsia="仿宋" w:cs="仿宋"/>
          <w:color w:val="000000" w:themeColor="text1"/>
          <w:sz w:val="32"/>
          <w:szCs w:val="32"/>
          <w:lang w:eastAsia="zh-CN"/>
          <w14:textFill>
            <w14:solidFill>
              <w14:schemeClr w14:val="tx1"/>
            </w14:solidFill>
          </w14:textFill>
        </w:rPr>
        <w:t>权重</w:t>
      </w:r>
      <w:r>
        <w:rPr>
          <w:rFonts w:hint="eastAsia" w:ascii="仿宋" w:hAnsi="仿宋" w:eastAsia="仿宋" w:cs="仿宋"/>
          <w:color w:val="000000" w:themeColor="text1"/>
          <w:sz w:val="32"/>
          <w:szCs w:val="32"/>
          <w:lang w:val="en-US" w:eastAsia="zh-CN"/>
          <w14:textFill>
            <w14:solidFill>
              <w14:schemeClr w14:val="tx1"/>
            </w14:solidFill>
          </w14:textFill>
        </w:rPr>
        <w:t>25%，满分25分</w:t>
      </w:r>
      <w:r>
        <w:rPr>
          <w:rFonts w:hint="eastAsia" w:ascii="仿宋" w:hAnsi="仿宋" w:eastAsia="仿宋" w:cs="仿宋"/>
          <w:color w:val="000000" w:themeColor="text1"/>
          <w:sz w:val="32"/>
          <w:szCs w:val="32"/>
          <w14:textFill>
            <w14:solidFill>
              <w14:schemeClr w14:val="tx1"/>
            </w14:solidFill>
          </w14:textFill>
        </w:rPr>
        <w:t>。</w:t>
      </w:r>
    </w:p>
    <w:p w14:paraId="7C5CEEA4">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1.事务所因执业行为受到刑事处罚、行政处罚和行业惩戒的情况。赋分方法：</w:t>
      </w:r>
    </w:p>
    <w:p w14:paraId="4950EB4F">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（1）受到刑事处罚。</w:t>
      </w:r>
      <w:r>
        <w:rPr>
          <w:rFonts w:hint="eastAsia" w:ascii="仿宋" w:hAnsi="仿宋" w:eastAsia="仿宋"/>
          <w:color w:val="000000" w:themeColor="text1"/>
          <w:sz w:val="32"/>
          <w:szCs w:val="32"/>
          <w:lang w:val="en-US" w:eastAsia="zh-CN"/>
          <w14:textFill>
            <w14:solidFill>
              <w14:schemeClr w14:val="tx1"/>
            </w14:solidFill>
          </w14:textFill>
        </w:rPr>
        <w:t>一次减25</w:t>
      </w:r>
      <w:r>
        <w:rPr>
          <w:rFonts w:hint="eastAsia" w:ascii="仿宋" w:hAnsi="仿宋" w:eastAsia="仿宋"/>
          <w:color w:val="000000" w:themeColor="text1"/>
          <w:sz w:val="32"/>
          <w:szCs w:val="32"/>
          <w14:textFill>
            <w14:solidFill>
              <w14:schemeClr w14:val="tx1"/>
            </w14:solidFill>
          </w14:textFill>
        </w:rPr>
        <w:t>分。</w:t>
      </w:r>
    </w:p>
    <w:p w14:paraId="3EE77018">
      <w:pPr>
        <w:spacing w:line="56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受到行政处罚。</w:t>
      </w:r>
      <w:r>
        <w:rPr>
          <w:rFonts w:hint="eastAsia" w:ascii="仿宋" w:hAnsi="仿宋" w:eastAsia="仿宋"/>
          <w:color w:val="000000" w:themeColor="text1"/>
          <w:sz w:val="32"/>
          <w:szCs w:val="32"/>
          <w14:textFill>
            <w14:solidFill>
              <w14:schemeClr w14:val="tx1"/>
            </w14:solidFill>
          </w14:textFill>
        </w:rPr>
        <w:t>暂停业务处罚及与其他处罚并处的，一次减8分；单处警告、没收违法所得、罚款及以上三项或者两项处罚并处的，一次减6分</w:t>
      </w:r>
      <w:r>
        <w:rPr>
          <w:rFonts w:hint="eastAsia" w:ascii="仿宋" w:hAnsi="仿宋" w:eastAsia="仿宋"/>
          <w:color w:val="000000" w:themeColor="text1"/>
          <w:sz w:val="32"/>
          <w:szCs w:val="32"/>
          <w:lang w:eastAsia="zh-CN"/>
          <w14:textFill>
            <w14:solidFill>
              <w14:schemeClr w14:val="tx1"/>
            </w14:solidFill>
          </w14:textFill>
        </w:rPr>
        <w:t>。</w:t>
      </w:r>
    </w:p>
    <w:p w14:paraId="0F1015E3">
      <w:pPr>
        <w:spacing w:line="56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（3）受到中注协、省注协的行业惩戒。公开谴责，一次减5分；通报批评，一次减3分；训诫，一次减2分。</w:t>
      </w:r>
    </w:p>
    <w:p w14:paraId="71812C34">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2.注册会计师因执业行为受到刑事处罚、行政处罚和行业惩戒的情况。赋分方法：</w:t>
      </w:r>
    </w:p>
    <w:p w14:paraId="2003ACC4">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（1）受到刑事处罚。</w:t>
      </w:r>
      <w:r>
        <w:rPr>
          <w:rFonts w:hint="eastAsia" w:ascii="仿宋" w:hAnsi="仿宋" w:eastAsia="仿宋"/>
          <w:color w:val="000000" w:themeColor="text1"/>
          <w:sz w:val="32"/>
          <w:szCs w:val="32"/>
          <w:lang w:val="en-US" w:eastAsia="zh-CN"/>
          <w14:textFill>
            <w14:solidFill>
              <w14:schemeClr w14:val="tx1"/>
            </w14:solidFill>
          </w14:textFill>
        </w:rPr>
        <w:t>每人次减10</w:t>
      </w:r>
      <w:r>
        <w:rPr>
          <w:rFonts w:hint="eastAsia" w:ascii="仿宋" w:hAnsi="仿宋" w:eastAsia="仿宋"/>
          <w:color w:val="000000" w:themeColor="text1"/>
          <w:sz w:val="32"/>
          <w:szCs w:val="32"/>
          <w14:textFill>
            <w14:solidFill>
              <w14:schemeClr w14:val="tx1"/>
            </w14:solidFill>
          </w14:textFill>
        </w:rPr>
        <w:t>分。</w:t>
      </w:r>
    </w:p>
    <w:p w14:paraId="635B70E1">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受到行政处罚。</w:t>
      </w:r>
      <w:r>
        <w:rPr>
          <w:rFonts w:hint="eastAsia" w:ascii="仿宋" w:hAnsi="仿宋" w:eastAsia="仿宋" w:cs="仿宋"/>
          <w:color w:val="000000" w:themeColor="text1"/>
          <w:sz w:val="32"/>
          <w:szCs w:val="32"/>
          <w14:textFill>
            <w14:solidFill>
              <w14:schemeClr w14:val="tx1"/>
            </w14:solidFill>
          </w14:textFill>
        </w:rPr>
        <w:t>吊销注册会计师证书，每人次减3分；其他行政处罚的应减分值，按照事务所受到相应行政处罚应减分值的50%计算</w:t>
      </w:r>
      <w:r>
        <w:rPr>
          <w:rFonts w:hint="eastAsia" w:ascii="仿宋" w:hAnsi="仿宋" w:eastAsia="仿宋" w:cs="仿宋"/>
          <w:color w:val="000000" w:themeColor="text1"/>
          <w:sz w:val="32"/>
          <w:szCs w:val="32"/>
          <w:lang w:eastAsia="zh-CN"/>
          <w14:textFill>
            <w14:solidFill>
              <w14:schemeClr w14:val="tx1"/>
            </w14:solidFill>
          </w14:textFill>
        </w:rPr>
        <w:t>。</w:t>
      </w:r>
    </w:p>
    <w:p w14:paraId="4CAD7A53">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受到中注协、省注协的行业惩戒。</w:t>
      </w:r>
      <w:r>
        <w:rPr>
          <w:rFonts w:hint="eastAsia" w:ascii="仿宋" w:hAnsi="仿宋" w:eastAsia="仿宋" w:cs="仿宋"/>
          <w:color w:val="000000" w:themeColor="text1"/>
          <w:sz w:val="32"/>
          <w:szCs w:val="32"/>
          <w14:textFill>
            <w14:solidFill>
              <w14:schemeClr w14:val="tx1"/>
            </w14:solidFill>
          </w14:textFill>
        </w:rPr>
        <w:t>行业惩戒的应减分值，按照事务所受到行业惩戒应减分值的50%计算</w:t>
      </w:r>
      <w:r>
        <w:rPr>
          <w:rFonts w:hint="eastAsia" w:ascii="仿宋" w:hAnsi="仿宋" w:eastAsia="仿宋" w:cs="仿宋"/>
          <w:color w:val="000000" w:themeColor="text1"/>
          <w:sz w:val="32"/>
          <w:szCs w:val="32"/>
          <w:lang w:eastAsia="zh-CN"/>
          <w14:textFill>
            <w14:solidFill>
              <w14:schemeClr w14:val="tx1"/>
            </w14:solidFill>
          </w14:textFill>
        </w:rPr>
        <w:t>。</w:t>
      </w:r>
    </w:p>
    <w:p w14:paraId="095D758C">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评价年度扣分权重100%；前一年扣分权重70%；前两年</w:t>
      </w:r>
      <w:r>
        <w:rPr>
          <w:rFonts w:hint="eastAsia" w:ascii="仿宋" w:hAnsi="仿宋" w:eastAsia="仿宋" w:cs="仿宋"/>
          <w:color w:val="000000" w:themeColor="text1"/>
          <w:sz w:val="32"/>
          <w:szCs w:val="32"/>
          <w:highlight w:val="none"/>
          <w:lang w:val="en-US" w:eastAsia="zh-CN"/>
          <w14:textFill>
            <w14:solidFill>
              <w14:schemeClr w14:val="tx1"/>
            </w14:solidFill>
          </w14:textFill>
        </w:rPr>
        <w:t>扣分权重</w:t>
      </w:r>
      <w:r>
        <w:rPr>
          <w:rFonts w:hint="eastAsia" w:ascii="仿宋" w:hAnsi="仿宋" w:eastAsia="仿宋" w:cs="仿宋"/>
          <w:color w:val="000000" w:themeColor="text1"/>
          <w:sz w:val="32"/>
          <w:szCs w:val="32"/>
          <w:lang w:eastAsia="zh-CN"/>
          <w14:textFill>
            <w14:solidFill>
              <w14:schemeClr w14:val="tx1"/>
            </w14:solidFill>
          </w14:textFill>
        </w:rPr>
        <w:t>40%，扣完为止。</w:t>
      </w:r>
    </w:p>
    <w:p w14:paraId="72586862">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附加指标是指反映事务所最新发展进步要求或落实重大工作部署等亟需增设的指标</w:t>
      </w:r>
      <w:r>
        <w:rPr>
          <w:rFonts w:hint="eastAsia" w:ascii="仿宋" w:hAnsi="仿宋" w:eastAsia="仿宋" w:cs="仿宋"/>
          <w:color w:val="000000" w:themeColor="text1"/>
          <w:sz w:val="32"/>
          <w:szCs w:val="32"/>
          <w:lang w:eastAsia="zh-CN"/>
          <w14:textFill>
            <w14:solidFill>
              <w14:schemeClr w14:val="tx1"/>
            </w14:solidFill>
          </w14:textFill>
        </w:rPr>
        <w:t>。具体指标及其分值视行业服务管理需要</w:t>
      </w:r>
      <w:r>
        <w:rPr>
          <w:rFonts w:hint="eastAsia" w:ascii="仿宋" w:hAnsi="仿宋" w:eastAsia="仿宋" w:cs="仿宋"/>
          <w:color w:val="000000" w:themeColor="text1"/>
          <w:sz w:val="32"/>
          <w:szCs w:val="32"/>
          <w14:textFill>
            <w14:solidFill>
              <w14:schemeClr w14:val="tx1"/>
            </w14:solidFill>
          </w14:textFill>
        </w:rPr>
        <w:t>在年度</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家排名工作通知中予以明确。附加指标评价条件成熟后，纳入基础指标。附加指标分值不超过10分。</w:t>
      </w:r>
    </w:p>
    <w:p w14:paraId="3582F3F9">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第十</w:t>
      </w:r>
      <w:r>
        <w:rPr>
          <w:rFonts w:hint="eastAsia" w:ascii="仿宋" w:hAnsi="仿宋" w:eastAsia="仿宋" w:cs="仿宋"/>
          <w:b/>
          <w:bCs/>
          <w:color w:val="000000" w:themeColor="text1"/>
          <w:kern w:val="0"/>
          <w:sz w:val="32"/>
          <w:szCs w:val="32"/>
          <w:lang w:val="en-US" w:eastAsia="zh-CN"/>
          <w14:textFill>
            <w14:solidFill>
              <w14:schemeClr w14:val="tx1"/>
            </w14:solidFill>
          </w14:textFill>
        </w:rPr>
        <w:t>三</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sz w:val="32"/>
          <w:szCs w:val="32"/>
          <w:lang w:eastAsia="zh-CN"/>
          <w14:textFill>
            <w14:solidFill>
              <w14:schemeClr w14:val="tx1"/>
            </w14:solidFill>
          </w14:textFill>
        </w:rPr>
        <w:t>因未如实填写</w:t>
      </w:r>
      <w:r>
        <w:rPr>
          <w:rFonts w:hint="eastAsia" w:ascii="仿宋" w:hAnsi="仿宋" w:eastAsia="仿宋" w:cs="仿宋"/>
          <w:color w:val="000000" w:themeColor="text1"/>
          <w:sz w:val="32"/>
          <w:szCs w:val="32"/>
          <w:lang w:val="en-US" w:eastAsia="zh-CN"/>
          <w14:textFill>
            <w14:solidFill>
              <w14:schemeClr w14:val="tx1"/>
            </w14:solidFill>
          </w14:textFill>
        </w:rPr>
        <w:t>综合评价申报信息</w:t>
      </w:r>
      <w:r>
        <w:rPr>
          <w:rFonts w:hint="eastAsia" w:ascii="仿宋" w:hAnsi="仿宋" w:eastAsia="仿宋" w:cs="仿宋"/>
          <w:color w:val="000000" w:themeColor="text1"/>
          <w:sz w:val="32"/>
          <w:szCs w:val="32"/>
          <w:lang w:eastAsia="zh-CN"/>
          <w14:textFill>
            <w14:solidFill>
              <w14:schemeClr w14:val="tx1"/>
            </w14:solidFill>
          </w14:textFill>
        </w:rPr>
        <w:t>经省注协核实后，涉及处罚和惩戒类的指标，按照上述规定双倍扣减相应的分值；涉及其</w:t>
      </w:r>
      <w:r>
        <w:rPr>
          <w:rFonts w:hint="eastAsia" w:ascii="仿宋" w:hAnsi="仿宋" w:eastAsia="仿宋" w:cs="仿宋"/>
          <w:color w:val="000000" w:themeColor="text1"/>
          <w:sz w:val="32"/>
          <w:szCs w:val="32"/>
          <w:lang w:val="en-US" w:eastAsia="zh-CN"/>
          <w14:textFill>
            <w14:solidFill>
              <w14:schemeClr w14:val="tx1"/>
            </w14:solidFill>
          </w14:textFill>
        </w:rPr>
        <w:t>他</w:t>
      </w:r>
      <w:r>
        <w:rPr>
          <w:rFonts w:hint="eastAsia" w:ascii="仿宋" w:hAnsi="仿宋" w:eastAsia="仿宋" w:cs="仿宋"/>
          <w:color w:val="000000" w:themeColor="text1"/>
          <w:sz w:val="32"/>
          <w:szCs w:val="32"/>
          <w:lang w:eastAsia="zh-CN"/>
          <w14:textFill>
            <w14:solidFill>
              <w14:schemeClr w14:val="tx1"/>
            </w14:solidFill>
          </w14:textFill>
        </w:rPr>
        <w:t>指标的，除了作相应的调整外，每项</w:t>
      </w:r>
      <w:r>
        <w:rPr>
          <w:rFonts w:hint="eastAsia" w:ascii="仿宋" w:hAnsi="仿宋" w:eastAsia="仿宋" w:cs="仿宋"/>
          <w:color w:val="000000" w:themeColor="text1"/>
          <w:sz w:val="32"/>
          <w:szCs w:val="32"/>
          <w:lang w:val="en-US" w:eastAsia="zh-CN"/>
          <w14:textFill>
            <w14:solidFill>
              <w14:schemeClr w14:val="tx1"/>
            </w14:solidFill>
          </w14:textFill>
        </w:rPr>
        <w:t>再</w:t>
      </w:r>
      <w:r>
        <w:rPr>
          <w:rFonts w:hint="eastAsia" w:ascii="仿宋" w:hAnsi="仿宋" w:eastAsia="仿宋" w:cs="仿宋"/>
          <w:color w:val="000000" w:themeColor="text1"/>
          <w:sz w:val="32"/>
          <w:szCs w:val="32"/>
          <w:lang w:eastAsia="zh-CN"/>
          <w14:textFill>
            <w14:solidFill>
              <w14:schemeClr w14:val="tx1"/>
            </w14:solidFill>
          </w14:textFill>
        </w:rPr>
        <w:t>扣减2分。</w:t>
      </w:r>
    </w:p>
    <w:p w14:paraId="2A648D53">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第</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十</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条</w:t>
      </w:r>
      <w:r>
        <w:rPr>
          <w:rFonts w:hint="eastAsia" w:ascii="仿宋" w:hAnsi="仿宋" w:eastAsia="仿宋" w:cs="仿宋"/>
          <w:color w:val="000000" w:themeColor="text1"/>
          <w:kern w:val="0"/>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事务所信息的时期指标为评价年度或包括评价年度在内的最近3个年度数据，时点指标以评价年度12月31日为基准日。</w:t>
      </w:r>
    </w:p>
    <w:p w14:paraId="0412C274">
      <w:pPr>
        <w:keepNext w:val="0"/>
        <w:keepLines w:val="0"/>
        <w:pageBreakBefore w:val="0"/>
        <w:kinsoku/>
        <w:wordWrap/>
        <w:overflowPunct/>
        <w:topLinePunct w:val="0"/>
        <w:autoSpaceDE/>
        <w:autoSpaceDN/>
        <w:bidi w:val="0"/>
        <w:adjustRightInd/>
        <w:snapToGrid/>
        <w:spacing w:line="620" w:lineRule="exact"/>
        <w:ind w:firstLine="0" w:firstLineChars="0"/>
        <w:textAlignment w:val="auto"/>
        <w:rPr>
          <w:rFonts w:hint="eastAsia" w:ascii="仿宋" w:hAnsi="仿宋" w:eastAsia="仿宋" w:cs="仿宋"/>
          <w:color w:val="000000" w:themeColor="text1"/>
          <w:sz w:val="32"/>
          <w:szCs w:val="32"/>
          <w14:textFill>
            <w14:solidFill>
              <w14:schemeClr w14:val="tx1"/>
            </w14:solidFill>
          </w14:textFill>
        </w:rPr>
      </w:pPr>
    </w:p>
    <w:p w14:paraId="37D8CE9A">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评价流程</w:t>
      </w:r>
    </w:p>
    <w:p w14:paraId="225282F8">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家排名工作流程包括省注协发布综合评价通知、事务所填报、省注协审核、计算</w:t>
      </w:r>
      <w:r>
        <w:rPr>
          <w:rFonts w:hint="eastAsia" w:ascii="仿宋" w:hAnsi="仿宋" w:eastAsia="仿宋" w:cs="仿宋"/>
          <w:color w:val="000000" w:themeColor="text1"/>
          <w:sz w:val="32"/>
          <w:szCs w:val="32"/>
          <w:lang w:eastAsia="zh-CN"/>
          <w14:textFill>
            <w14:solidFill>
              <w14:schemeClr w14:val="tx1"/>
            </w14:solidFill>
          </w14:textFill>
        </w:rPr>
        <w:t>综合评分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家排名信息公示、</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家排名信息正式发布等环节。</w:t>
      </w:r>
    </w:p>
    <w:p w14:paraId="37B9A155">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注协按照各项指标要求从注册会计师行业统一监管平台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中国注册会计师协会行业管理信息系统</w:t>
      </w:r>
      <w:r>
        <w:rPr>
          <w:rFonts w:hint="eastAsia" w:ascii="仿宋" w:hAnsi="仿宋" w:eastAsia="仿宋" w:cs="仿宋"/>
          <w:color w:val="000000" w:themeColor="text1"/>
          <w:sz w:val="32"/>
          <w:szCs w:val="32"/>
          <w:lang w:eastAsia="zh-CN"/>
          <w14:textFill>
            <w14:solidFill>
              <w14:schemeClr w14:val="tx1"/>
            </w14:solidFill>
          </w14:textFill>
        </w:rPr>
        <w:t>和福建省注册会计师行业管理平台</w:t>
      </w:r>
      <w:r>
        <w:rPr>
          <w:rFonts w:hint="eastAsia" w:ascii="仿宋" w:hAnsi="仿宋" w:eastAsia="仿宋" w:cs="仿宋"/>
          <w:color w:val="000000" w:themeColor="text1"/>
          <w:sz w:val="32"/>
          <w:szCs w:val="32"/>
          <w14:textFill>
            <w14:solidFill>
              <w14:schemeClr w14:val="tx1"/>
            </w14:solidFill>
          </w14:textFill>
        </w:rPr>
        <w:t>采集信息。事务所应当及时填列和更新相关信息，并对信息的真实性负责。</w:t>
      </w:r>
    </w:p>
    <w:p w14:paraId="2C1EBF96">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注协根据采集到的指标信息，依据</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家排名指标计算方法及得分标准进行计算，形成评价得分。</w:t>
      </w:r>
    </w:p>
    <w:p w14:paraId="15E954C3">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家排名工作开展过程中，如发现事务所提供虚假、不实指标信息或相关证明材料，</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注协将</w:t>
      </w:r>
      <w:r>
        <w:rPr>
          <w:rFonts w:hint="eastAsia" w:ascii="仿宋" w:hAnsi="仿宋" w:eastAsia="仿宋" w:cs="仿宋"/>
          <w:color w:val="000000" w:themeColor="text1"/>
          <w:sz w:val="32"/>
          <w:szCs w:val="32"/>
          <w:lang w:eastAsia="zh-CN"/>
          <w14:textFill>
            <w14:solidFill>
              <w14:schemeClr w14:val="tx1"/>
            </w14:solidFill>
          </w14:textFill>
        </w:rPr>
        <w:t>按规定</w:t>
      </w:r>
      <w:r>
        <w:rPr>
          <w:rFonts w:hint="eastAsia" w:ascii="仿宋" w:hAnsi="仿宋" w:eastAsia="仿宋" w:cs="仿宋"/>
          <w:color w:val="000000" w:themeColor="text1"/>
          <w:sz w:val="32"/>
          <w:szCs w:val="32"/>
          <w14:textFill>
            <w14:solidFill>
              <w14:schemeClr w14:val="tx1"/>
            </w14:solidFill>
          </w14:textFill>
        </w:rPr>
        <w:t>扣减相应分值，并根据情形予以行业惩戒。对相关事务所财务报表信息严重失实负有审计责任的事务所，</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注协将根据情形予以行业惩戒。</w:t>
      </w:r>
    </w:p>
    <w:p w14:paraId="1DC2E0E8">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十九</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注协在履行报批程序后，对外发布《</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年度</w:t>
      </w:r>
      <w:r>
        <w:rPr>
          <w:rFonts w:hint="eastAsia" w:ascii="仿宋" w:hAnsi="仿宋" w:eastAsia="仿宋" w:cs="仿宋"/>
          <w:color w:val="000000" w:themeColor="text1"/>
          <w:sz w:val="32"/>
          <w:szCs w:val="32"/>
          <w:lang w:eastAsia="zh-CN"/>
          <w14:textFill>
            <w14:solidFill>
              <w14:schemeClr w14:val="tx1"/>
            </w14:solidFill>
          </w14:textFill>
        </w:rPr>
        <w:t>福建省</w:t>
      </w:r>
      <w:r>
        <w:rPr>
          <w:rFonts w:hint="eastAsia" w:ascii="仿宋" w:hAnsi="仿宋" w:eastAsia="仿宋" w:cs="仿宋"/>
          <w:color w:val="000000" w:themeColor="text1"/>
          <w:sz w:val="32"/>
          <w:szCs w:val="32"/>
          <w14:textFill>
            <w14:solidFill>
              <w14:schemeClr w14:val="tx1"/>
            </w14:solidFill>
          </w14:textFill>
        </w:rPr>
        <w:t>会计师事务所综合评价</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家排名信息（公示稿）》，公示期5个工作日。公示期内，</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注协负责受理公示相关信息的投诉举报，并作出相应处理。</w:t>
      </w:r>
    </w:p>
    <w:p w14:paraId="56C73E1D">
      <w:pPr>
        <w:keepNext w:val="0"/>
        <w:keepLines w:val="0"/>
        <w:pageBreakBefore w:val="0"/>
        <w:widowControl/>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第二十条</w:t>
      </w:r>
      <w:r>
        <w:rPr>
          <w:rFonts w:hint="eastAsia" w:ascii="仿宋" w:hAnsi="仿宋" w:eastAsia="仿宋" w:cs="仿宋"/>
          <w:color w:val="000000" w:themeColor="text1"/>
          <w:sz w:val="32"/>
          <w:szCs w:val="32"/>
          <w14:textFill>
            <w14:solidFill>
              <w14:schemeClr w14:val="tx1"/>
            </w14:solidFill>
          </w14:textFill>
        </w:rPr>
        <w:t xml:space="preserve"> 公示期满后，结合公示期内各方反馈意见，形成《</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年度</w:t>
      </w:r>
      <w:r>
        <w:rPr>
          <w:rFonts w:hint="eastAsia" w:ascii="仿宋" w:hAnsi="仿宋" w:eastAsia="仿宋" w:cs="仿宋"/>
          <w:color w:val="000000" w:themeColor="text1"/>
          <w:sz w:val="32"/>
          <w:szCs w:val="32"/>
          <w:lang w:eastAsia="zh-CN"/>
          <w14:textFill>
            <w14:solidFill>
              <w14:schemeClr w14:val="tx1"/>
            </w14:solidFill>
          </w14:textFill>
        </w:rPr>
        <w:t>福建省</w:t>
      </w:r>
      <w:r>
        <w:rPr>
          <w:rFonts w:hint="eastAsia" w:ascii="仿宋" w:hAnsi="仿宋" w:eastAsia="仿宋" w:cs="仿宋"/>
          <w:color w:val="000000" w:themeColor="text1"/>
          <w:sz w:val="32"/>
          <w:szCs w:val="32"/>
          <w14:textFill>
            <w14:solidFill>
              <w14:schemeClr w14:val="tx1"/>
            </w14:solidFill>
          </w14:textFill>
        </w:rPr>
        <w:t>会计师事务所综合评价</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家排名信息》，在履行报批程序后，对外正式发布。</w:t>
      </w:r>
      <w:r>
        <w:rPr>
          <w:rFonts w:hint="eastAsia" w:ascii="仿宋" w:hAnsi="仿宋" w:eastAsia="仿宋" w:cs="仿宋"/>
          <w:color w:val="000000" w:themeColor="text1"/>
          <w:kern w:val="0"/>
          <w:sz w:val="32"/>
          <w:szCs w:val="32"/>
          <w:highlight w:val="none"/>
          <w14:textFill>
            <w14:solidFill>
              <w14:schemeClr w14:val="tx1"/>
            </w14:solidFill>
          </w14:textFill>
        </w:rPr>
        <w:t>对于在</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发</w:t>
      </w:r>
      <w:r>
        <w:rPr>
          <w:rFonts w:hint="eastAsia" w:ascii="仿宋" w:hAnsi="仿宋" w:eastAsia="仿宋" w:cs="仿宋"/>
          <w:color w:val="000000" w:themeColor="text1"/>
          <w:kern w:val="0"/>
          <w:sz w:val="32"/>
          <w:szCs w:val="32"/>
          <w:highlight w:val="none"/>
          <w14:textFill>
            <w14:solidFill>
              <w14:schemeClr w14:val="tx1"/>
            </w14:solidFill>
          </w14:textFill>
        </w:rPr>
        <w:t>布前终止的事务所信息，不予</w:t>
      </w:r>
      <w:r>
        <w:rPr>
          <w:rFonts w:hint="eastAsia" w:ascii="仿宋" w:hAnsi="仿宋" w:eastAsia="仿宋" w:cs="仿宋"/>
          <w:color w:val="000000" w:themeColor="text1"/>
          <w:kern w:val="0"/>
          <w:sz w:val="32"/>
          <w:szCs w:val="32"/>
          <w:highlight w:val="none"/>
          <w:lang w:eastAsia="zh-CN"/>
          <w14:textFill>
            <w14:solidFill>
              <w14:schemeClr w14:val="tx1"/>
            </w14:solidFill>
          </w14:textFill>
        </w:rPr>
        <w:t>发</w:t>
      </w:r>
      <w:r>
        <w:rPr>
          <w:rFonts w:hint="eastAsia" w:ascii="仿宋" w:hAnsi="仿宋" w:eastAsia="仿宋" w:cs="仿宋"/>
          <w:color w:val="000000" w:themeColor="text1"/>
          <w:kern w:val="0"/>
          <w:sz w:val="32"/>
          <w:szCs w:val="32"/>
          <w:highlight w:val="none"/>
          <w14:textFill>
            <w14:solidFill>
              <w14:schemeClr w14:val="tx1"/>
            </w14:solidFill>
          </w14:textFill>
        </w:rPr>
        <w:t>布。</w:t>
      </w:r>
    </w:p>
    <w:p w14:paraId="0F5E6C5F">
      <w:pPr>
        <w:keepNext w:val="0"/>
        <w:keepLines w:val="0"/>
        <w:pageBreakBefore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注协会员管理与服务委员会负责研究处理</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家排名工作中出现的投诉举报及严重争议等重大问题。</w:t>
      </w:r>
    </w:p>
    <w:p w14:paraId="79196412">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14:paraId="71184520">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信息披露</w:t>
      </w:r>
    </w:p>
    <w:p w14:paraId="03B908D9">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注协按照评价得分由高到低排序发布</w:t>
      </w:r>
      <w:r>
        <w:rPr>
          <w:rFonts w:hint="eastAsia" w:ascii="仿宋" w:hAnsi="仿宋" w:eastAsia="仿宋" w:cs="仿宋"/>
          <w:color w:val="000000" w:themeColor="text1"/>
          <w:sz w:val="32"/>
          <w:szCs w:val="32"/>
          <w:lang w:eastAsia="zh-CN"/>
          <w14:textFill>
            <w14:solidFill>
              <w14:schemeClr w14:val="tx1"/>
            </w14:solidFill>
          </w14:textFill>
        </w:rPr>
        <w:t>前五十</w:t>
      </w:r>
      <w:r>
        <w:rPr>
          <w:rFonts w:hint="eastAsia" w:ascii="仿宋" w:hAnsi="仿宋" w:eastAsia="仿宋" w:cs="仿宋"/>
          <w:color w:val="000000" w:themeColor="text1"/>
          <w:sz w:val="32"/>
          <w:szCs w:val="32"/>
          <w14:textFill>
            <w14:solidFill>
              <w14:schemeClr w14:val="tx1"/>
            </w14:solidFill>
          </w14:textFill>
        </w:rPr>
        <w:t>家排名信息，并同时披露以下信息：</w:t>
      </w:r>
    </w:p>
    <w:p w14:paraId="6B7765FA">
      <w:pPr>
        <w:keepNext w:val="0"/>
        <w:keepLines w:val="0"/>
        <w:pageBreakBefore w:val="0"/>
        <w:kinsoku/>
        <w:wordWrap/>
        <w:overflowPunct/>
        <w:topLinePunct w:val="0"/>
        <w:autoSpaceDE/>
        <w:autoSpaceDN/>
        <w:bidi w:val="0"/>
        <w:adjustRightInd/>
        <w:snapToGrid/>
        <w:spacing w:line="620"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（一）年度业务收入</w:t>
      </w:r>
      <w:r>
        <w:rPr>
          <w:rFonts w:hint="eastAsia" w:ascii="仿宋" w:hAnsi="仿宋" w:eastAsia="仿宋" w:cs="仿宋"/>
          <w:color w:val="000000" w:themeColor="text1"/>
          <w:sz w:val="32"/>
          <w:szCs w:val="32"/>
          <w:lang w:val="en-US" w:eastAsia="zh-CN"/>
          <w14:textFill>
            <w14:solidFill>
              <w14:schemeClr w14:val="tx1"/>
            </w14:solidFill>
          </w14:textFill>
        </w:rPr>
        <w:t>规模</w:t>
      </w:r>
      <w:r>
        <w:rPr>
          <w:rFonts w:hint="eastAsia" w:ascii="仿宋" w:hAnsi="仿宋" w:eastAsia="仿宋" w:cs="仿宋"/>
          <w:color w:val="000000" w:themeColor="text1"/>
          <w:sz w:val="32"/>
          <w:szCs w:val="32"/>
          <w14:textFill>
            <w14:solidFill>
              <w14:schemeClr w14:val="tx1"/>
            </w14:solidFill>
          </w14:textFill>
        </w:rPr>
        <w:t>。</w:t>
      </w:r>
    </w:p>
    <w:p w14:paraId="0D53868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（二）执业超过5年且年龄在60周岁以内的注册会计师人数。</w:t>
      </w:r>
    </w:p>
    <w:p w14:paraId="280CE382">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上述信息以上年度12月31日为基准。</w:t>
      </w:r>
    </w:p>
    <w:p w14:paraId="053E2F0E">
      <w:pPr>
        <w:keepNext w:val="0"/>
        <w:keepLines w:val="0"/>
        <w:pageBreakBefore w:val="0"/>
        <w:kinsoku/>
        <w:wordWrap/>
        <w:overflowPunct/>
        <w:topLinePunct w:val="0"/>
        <w:autoSpaceDE/>
        <w:autoSpaceDN/>
        <w:bidi w:val="0"/>
        <w:adjustRightInd/>
        <w:snapToGrid/>
        <w:spacing w:line="620" w:lineRule="exact"/>
        <w:ind w:firstLine="0" w:firstLineChars="0"/>
        <w:textAlignment w:val="auto"/>
        <w:rPr>
          <w:rFonts w:hint="eastAsia" w:ascii="仿宋" w:hAnsi="仿宋" w:eastAsia="仿宋" w:cs="仿宋"/>
          <w:color w:val="000000" w:themeColor="text1"/>
          <w:sz w:val="32"/>
          <w:szCs w:val="32"/>
          <w14:textFill>
            <w14:solidFill>
              <w14:schemeClr w14:val="tx1"/>
            </w14:solidFill>
          </w14:textFill>
        </w:rPr>
      </w:pPr>
    </w:p>
    <w:p w14:paraId="14D46D87">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附则</w:t>
      </w:r>
    </w:p>
    <w:p w14:paraId="73F80D71">
      <w:pPr>
        <w:keepNext w:val="0"/>
        <w:keepLines w:val="0"/>
        <w:pageBreakBefore w:val="0"/>
        <w:widowControl/>
        <w:kinsoku/>
        <w:wordWrap/>
        <w:overflowPunct/>
        <w:topLinePunct w:val="0"/>
        <w:autoSpaceDE/>
        <w:autoSpaceDN/>
        <w:bidi w:val="0"/>
        <w:adjustRightInd/>
        <w:snapToGrid/>
        <w:spacing w:line="620" w:lineRule="exact"/>
        <w:ind w:firstLine="643" w:firstLineChars="200"/>
        <w:jc w:val="both"/>
        <w:textAlignment w:val="auto"/>
        <w:rPr>
          <w:rFonts w:hint="eastAsia" w:ascii="宋体" w:hAnsi="宋体"/>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sz w:val="32"/>
          <w:szCs w:val="32"/>
          <w14:textFill>
            <w14:solidFill>
              <w14:schemeClr w14:val="tx1"/>
            </w14:solidFill>
          </w14:textFill>
        </w:rPr>
        <w:t>二十</w:t>
      </w:r>
      <w:r>
        <w:rPr>
          <w:rFonts w:hint="eastAsia" w:ascii="仿宋" w:hAnsi="仿宋" w:eastAsia="仿宋" w:cs="仿宋"/>
          <w:b/>
          <w:bCs/>
          <w:color w:val="000000" w:themeColor="text1"/>
          <w:kern w:val="0"/>
          <w:sz w:val="32"/>
          <w:szCs w:val="32"/>
          <w:lang w:val="en-US" w:eastAsia="zh-CN"/>
          <w14:textFill>
            <w14:solidFill>
              <w14:schemeClr w14:val="tx1"/>
            </w14:solidFill>
          </w14:textFill>
        </w:rPr>
        <w:t>三</w:t>
      </w:r>
      <w:r>
        <w:rPr>
          <w:rFonts w:hint="eastAsia" w:ascii="仿宋" w:hAnsi="仿宋" w:eastAsia="仿宋" w:cs="仿宋"/>
          <w:b/>
          <w:bCs/>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本办法自印发之日起施行</w:t>
      </w:r>
      <w:r>
        <w:rPr>
          <w:rFonts w:hint="eastAsia" w:ascii="仿宋" w:hAnsi="仿宋" w:eastAsia="仿宋" w:cs="仿宋"/>
          <w:color w:val="000000" w:themeColor="text1"/>
          <w:kern w:val="0"/>
          <w:sz w:val="32"/>
          <w:szCs w:val="32"/>
          <w14:textFill>
            <w14:solidFill>
              <w14:schemeClr w14:val="tx1"/>
            </w14:solidFill>
          </w14:textFill>
        </w:rPr>
        <w:t>。《福建省会计师事务所综合评价办法》</w:t>
      </w:r>
      <w:r>
        <w:rPr>
          <w:rFonts w:hint="eastAsia" w:ascii="仿宋" w:hAnsi="仿宋" w:eastAsia="仿宋" w:cs="仿宋"/>
          <w:color w:val="000000" w:themeColor="text1"/>
          <w:sz w:val="32"/>
          <w:szCs w:val="32"/>
          <w14:textFill>
            <w14:solidFill>
              <w14:schemeClr w14:val="tx1"/>
            </w14:solidFill>
          </w14:textFill>
        </w:rPr>
        <w:t>（闽注会协〔2018〕4号）</w:t>
      </w:r>
      <w:r>
        <w:rPr>
          <w:rFonts w:hint="eastAsia" w:ascii="仿宋" w:hAnsi="仿宋" w:eastAsia="仿宋" w:cs="仿宋"/>
          <w:color w:val="000000" w:themeColor="text1"/>
          <w:kern w:val="0"/>
          <w:sz w:val="32"/>
          <w:szCs w:val="32"/>
          <w14:textFill>
            <w14:solidFill>
              <w14:schemeClr w14:val="tx1"/>
            </w14:solidFill>
          </w14:textFill>
        </w:rPr>
        <w:t>同时废止。</w:t>
      </w:r>
    </w:p>
    <w:sectPr>
      <w:footerReference r:id="rId3" w:type="default"/>
      <w:footerReference r:id="rId4" w:type="even"/>
      <w:pgSz w:w="11906" w:h="16838"/>
      <w:pgMar w:top="1418" w:right="1797" w:bottom="1418"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27010E-7FB4-4A37-89FE-01B50130B2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7A806E0-31CE-4876-97BD-34F6A2F23F3F}"/>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076C9BA9-F135-4A21-AFAC-A049D73D015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023D">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05CBC">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8105CBC">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2EE3">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14:paraId="2A563EE8">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B5"/>
    <w:rsid w:val="00014CA1"/>
    <w:rsid w:val="000301BA"/>
    <w:rsid w:val="00041DA0"/>
    <w:rsid w:val="001F0344"/>
    <w:rsid w:val="00203D45"/>
    <w:rsid w:val="00217732"/>
    <w:rsid w:val="00274793"/>
    <w:rsid w:val="00357AB5"/>
    <w:rsid w:val="003E4CBF"/>
    <w:rsid w:val="004335FC"/>
    <w:rsid w:val="004521CB"/>
    <w:rsid w:val="004F2E86"/>
    <w:rsid w:val="005269D7"/>
    <w:rsid w:val="00557F80"/>
    <w:rsid w:val="005C4055"/>
    <w:rsid w:val="00631F28"/>
    <w:rsid w:val="006A7BA5"/>
    <w:rsid w:val="006B288A"/>
    <w:rsid w:val="006F0E6E"/>
    <w:rsid w:val="007447D8"/>
    <w:rsid w:val="007B3845"/>
    <w:rsid w:val="007E6E3C"/>
    <w:rsid w:val="008C0D8F"/>
    <w:rsid w:val="008C3CE2"/>
    <w:rsid w:val="008D4D92"/>
    <w:rsid w:val="008E1071"/>
    <w:rsid w:val="009D11E3"/>
    <w:rsid w:val="009E4113"/>
    <w:rsid w:val="009E596D"/>
    <w:rsid w:val="00A12DCD"/>
    <w:rsid w:val="00A251C2"/>
    <w:rsid w:val="00AC5EB7"/>
    <w:rsid w:val="00AE7519"/>
    <w:rsid w:val="00B22A19"/>
    <w:rsid w:val="00B23248"/>
    <w:rsid w:val="00B2673C"/>
    <w:rsid w:val="00C25442"/>
    <w:rsid w:val="00C26085"/>
    <w:rsid w:val="00C3429C"/>
    <w:rsid w:val="00CA425C"/>
    <w:rsid w:val="00D36C03"/>
    <w:rsid w:val="00D50B57"/>
    <w:rsid w:val="00D61CC8"/>
    <w:rsid w:val="00E84384"/>
    <w:rsid w:val="00E97EA9"/>
    <w:rsid w:val="00EB1BCA"/>
    <w:rsid w:val="00EC7193"/>
    <w:rsid w:val="01945907"/>
    <w:rsid w:val="03902826"/>
    <w:rsid w:val="03924435"/>
    <w:rsid w:val="039D50C1"/>
    <w:rsid w:val="056F3671"/>
    <w:rsid w:val="07752B3A"/>
    <w:rsid w:val="07B83B2E"/>
    <w:rsid w:val="093C74AB"/>
    <w:rsid w:val="0A172275"/>
    <w:rsid w:val="0AA42D1D"/>
    <w:rsid w:val="0AE640C0"/>
    <w:rsid w:val="0B703D42"/>
    <w:rsid w:val="0C1C1535"/>
    <w:rsid w:val="0CD52E58"/>
    <w:rsid w:val="0D040901"/>
    <w:rsid w:val="0D655334"/>
    <w:rsid w:val="0DA079A0"/>
    <w:rsid w:val="0E2F2A8D"/>
    <w:rsid w:val="0F544E83"/>
    <w:rsid w:val="1149052C"/>
    <w:rsid w:val="118F0E00"/>
    <w:rsid w:val="134A6C68"/>
    <w:rsid w:val="136A3508"/>
    <w:rsid w:val="13CF12A4"/>
    <w:rsid w:val="143111FF"/>
    <w:rsid w:val="160F1A1D"/>
    <w:rsid w:val="1958313F"/>
    <w:rsid w:val="19DE3DC4"/>
    <w:rsid w:val="1A0F48F3"/>
    <w:rsid w:val="1B936F14"/>
    <w:rsid w:val="1DB207CF"/>
    <w:rsid w:val="1FFC07D3"/>
    <w:rsid w:val="20EA198A"/>
    <w:rsid w:val="217C6877"/>
    <w:rsid w:val="218E4F71"/>
    <w:rsid w:val="21E357D1"/>
    <w:rsid w:val="22E136D5"/>
    <w:rsid w:val="23BD6FE3"/>
    <w:rsid w:val="255D363B"/>
    <w:rsid w:val="25624471"/>
    <w:rsid w:val="26A050C5"/>
    <w:rsid w:val="27066EE8"/>
    <w:rsid w:val="286C102F"/>
    <w:rsid w:val="28F53C46"/>
    <w:rsid w:val="29905EB9"/>
    <w:rsid w:val="2A337A09"/>
    <w:rsid w:val="2A916E63"/>
    <w:rsid w:val="2AF24E66"/>
    <w:rsid w:val="2BBE7D9C"/>
    <w:rsid w:val="2BD578EC"/>
    <w:rsid w:val="2D4C2811"/>
    <w:rsid w:val="2E8C2AA2"/>
    <w:rsid w:val="2E915C6A"/>
    <w:rsid w:val="2E957D9D"/>
    <w:rsid w:val="306C44C8"/>
    <w:rsid w:val="307D0587"/>
    <w:rsid w:val="314E1CC7"/>
    <w:rsid w:val="319121DA"/>
    <w:rsid w:val="31AA3038"/>
    <w:rsid w:val="31FB3D86"/>
    <w:rsid w:val="32C91500"/>
    <w:rsid w:val="333C2D98"/>
    <w:rsid w:val="336A023E"/>
    <w:rsid w:val="33E17355"/>
    <w:rsid w:val="341B5859"/>
    <w:rsid w:val="344076FA"/>
    <w:rsid w:val="3709783C"/>
    <w:rsid w:val="37530324"/>
    <w:rsid w:val="37A66A4C"/>
    <w:rsid w:val="37F66761"/>
    <w:rsid w:val="37FA784A"/>
    <w:rsid w:val="383E64EC"/>
    <w:rsid w:val="3B851330"/>
    <w:rsid w:val="3C0B45CA"/>
    <w:rsid w:val="3C0B7C87"/>
    <w:rsid w:val="3CDE204C"/>
    <w:rsid w:val="3CFC2B88"/>
    <w:rsid w:val="3D484DCB"/>
    <w:rsid w:val="3EA431F1"/>
    <w:rsid w:val="3ECF020A"/>
    <w:rsid w:val="3EF8362A"/>
    <w:rsid w:val="3F302E52"/>
    <w:rsid w:val="3FE004BB"/>
    <w:rsid w:val="423948E8"/>
    <w:rsid w:val="426545CD"/>
    <w:rsid w:val="42EA0226"/>
    <w:rsid w:val="440C749E"/>
    <w:rsid w:val="44341BF6"/>
    <w:rsid w:val="443B553D"/>
    <w:rsid w:val="447A65E5"/>
    <w:rsid w:val="471C1AE7"/>
    <w:rsid w:val="48051BFA"/>
    <w:rsid w:val="48FE5CB0"/>
    <w:rsid w:val="491E0044"/>
    <w:rsid w:val="4AF320B9"/>
    <w:rsid w:val="4CC26FFD"/>
    <w:rsid w:val="4D167482"/>
    <w:rsid w:val="4E634C11"/>
    <w:rsid w:val="4EA63ED1"/>
    <w:rsid w:val="505064D7"/>
    <w:rsid w:val="525E3C92"/>
    <w:rsid w:val="54063947"/>
    <w:rsid w:val="557A2C12"/>
    <w:rsid w:val="55D10243"/>
    <w:rsid w:val="55EE2EA8"/>
    <w:rsid w:val="55FD534C"/>
    <w:rsid w:val="57346132"/>
    <w:rsid w:val="58470B18"/>
    <w:rsid w:val="58785CB2"/>
    <w:rsid w:val="5FB76914"/>
    <w:rsid w:val="60065E79"/>
    <w:rsid w:val="601B28EB"/>
    <w:rsid w:val="606C1FF9"/>
    <w:rsid w:val="62783A5A"/>
    <w:rsid w:val="629118D9"/>
    <w:rsid w:val="637D3207"/>
    <w:rsid w:val="640C4366"/>
    <w:rsid w:val="66344DD7"/>
    <w:rsid w:val="66393AFC"/>
    <w:rsid w:val="68093B71"/>
    <w:rsid w:val="68D74282"/>
    <w:rsid w:val="6B4124BE"/>
    <w:rsid w:val="6BC87862"/>
    <w:rsid w:val="6C116441"/>
    <w:rsid w:val="6D9D4134"/>
    <w:rsid w:val="6E607F56"/>
    <w:rsid w:val="6F461B54"/>
    <w:rsid w:val="6F4E64FC"/>
    <w:rsid w:val="6FBC64DE"/>
    <w:rsid w:val="6FC32969"/>
    <w:rsid w:val="6FEA44E1"/>
    <w:rsid w:val="7137174F"/>
    <w:rsid w:val="722D5109"/>
    <w:rsid w:val="72D55587"/>
    <w:rsid w:val="74D702EB"/>
    <w:rsid w:val="74F14367"/>
    <w:rsid w:val="75773BDB"/>
    <w:rsid w:val="76486314"/>
    <w:rsid w:val="76A06483"/>
    <w:rsid w:val="770F7C79"/>
    <w:rsid w:val="78666789"/>
    <w:rsid w:val="78F11FAB"/>
    <w:rsid w:val="7A713E3A"/>
    <w:rsid w:val="7AF51C27"/>
    <w:rsid w:val="7C287019"/>
    <w:rsid w:val="7C4C385D"/>
    <w:rsid w:val="7D821921"/>
    <w:rsid w:val="7DCE4768"/>
    <w:rsid w:val="7F883E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 w:type="character" w:customStyle="1" w:styleId="10">
    <w:name w:val="页眉 Char"/>
    <w:basedOn w:val="7"/>
    <w:link w:val="4"/>
    <w:qFormat/>
    <w:uiPriority w:val="0"/>
    <w:rPr>
      <w:kern w:val="2"/>
      <w:sz w:val="18"/>
      <w:szCs w:val="18"/>
    </w:rPr>
  </w:style>
  <w:style w:type="character" w:customStyle="1" w:styleId="11">
    <w:name w:val="HTML 预设格式 Char"/>
    <w:basedOn w:val="7"/>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6718</Words>
  <Characters>7121</Characters>
  <Lines>34</Lines>
  <Paragraphs>9</Paragraphs>
  <TotalTime>247</TotalTime>
  <ScaleCrop>false</ScaleCrop>
  <LinksUpToDate>false</LinksUpToDate>
  <CharactersWithSpaces>7152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2018-01-16T08:34:00Z</dcterms:created>
  <dc:creator>szxzcb</dc:creator>
  <cp:lastModifiedBy>高伟铭</cp:lastModifiedBy>
  <cp:lastPrinted>2025-10-11T06:46:00Z</cp:lastPrinted>
  <dcterms:modified xsi:type="dcterms:W3CDTF">2025-10-11T08:00:05Z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D5D1D326080445439F57AF521B2023A2_13</vt:lpwstr>
  </property>
  <property fmtid="{D5CDD505-2E9C-101B-9397-08002B2CF9AE}" pid="4" name="KSOTemplateDocerSaveRecord">
    <vt:lpwstr>eyJoZGlkIjoiOGVjMjBjOTU0Y2NiNWU4ZTliN2Q4MGQ2OTk5MGU0NDAiLCJ1c2VySWQiOiIxMjA1NDY4MjAwIn0=</vt:lpwstr>
  </property>
</Properties>
</file>