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Lines="50" w:before="163" w:afterLines="50" w:after="163" w:line="560" w:lineRule="exact"/>
        <w:jc w:val="center"/>
        <w:rPr>
          <w:rFonts w:ascii="Times New Roman" w:eastAsia="方正小标宋_GBK" w:cs="Times New Roman" w:hAnsi="Times New Roman"/>
          <w:sz w:val="44"/>
          <w:szCs w:val="44"/>
          <w:lang w:val="en-US" w:eastAsia="zh-CN"/>
        </w:rPr>
      </w:pPr>
      <w:bookmarkStart w:id="0" w:name="_GoBack"/>
      <w:r>
        <w:rPr>
          <w:rFonts w:ascii="Times New Roman" w:eastAsia="方正小标宋_GBK" w:cs="Times New Roman" w:hAnsi="Times New Roman"/>
          <w:sz w:val="44"/>
          <w:szCs w:val="44"/>
          <w:lang w:val="en-US" w:eastAsia="zh-CN"/>
        </w:rPr>
        <w:t>修订说明</w:t>
      </w:r>
    </w:p>
    <w:p>
      <w:pPr>
        <w:pStyle w:val="3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Chars="200" w:firstLine="640"/>
        <w:jc w:val="both"/>
        <w:rPr>
          <w:rFonts w:ascii="方正黑体_GBK" w:eastAsia="方正黑体_GBK" w:cs="方正黑体_GBK" w:hint="eastAsia"/>
          <w:sz w:val="32"/>
          <w:szCs w:val="32"/>
          <w:lang w:eastAsia="zh-CN" w:bidi="ar-SA"/>
        </w:rPr>
      </w:pPr>
      <w:bookmarkEnd w:id="0"/>
      <w:r>
        <w:rPr>
          <w:rFonts w:ascii="方正黑体_GBK" w:eastAsia="方正黑体_GBK" w:cs="方正黑体_GBK" w:hint="eastAsia"/>
          <w:sz w:val="32"/>
          <w:szCs w:val="32"/>
          <w:lang w:eastAsia="zh-CN" w:bidi="ar-SA"/>
        </w:rPr>
        <w:t>一、修订背景</w:t>
      </w:r>
    </w:p>
    <w:p>
      <w:pPr>
        <w:pStyle w:val="3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color w:val="000000"/>
          <w:sz w:val="32"/>
          <w:szCs w:val="32"/>
          <w:lang w:eastAsia="zh-CN"/>
        </w:rPr>
      </w:pPr>
      <w:r>
        <w:rPr>
          <w:rFonts w:eastAsia="方正仿宋_GBK"/>
          <w:color w:val="000000"/>
          <w:sz w:val="32"/>
          <w:szCs w:val="32"/>
          <w:lang w:eastAsia="zh-CN"/>
        </w:rPr>
        <w:t>现行的《进口大豆期货交割检验检疫监督管理规范（2016年试行版）》于2016年发布实施，已实施九年，为服务进口大豆期货市场发展发挥了重要作用。</w:t>
      </w:r>
    </w:p>
    <w:p>
      <w:pPr>
        <w:pStyle w:val="3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 w:hint="eastAsia"/>
          <w:color w:val="000000"/>
          <w:sz w:val="32"/>
          <w:szCs w:val="32"/>
          <w:lang w:eastAsia="zh-CN" w:bidi="ar-SA"/>
        </w:rPr>
      </w:pPr>
      <w:r>
        <w:rPr>
          <w:rFonts w:eastAsia="方正仿宋_GBK"/>
          <w:color w:val="000000"/>
          <w:sz w:val="32"/>
          <w:szCs w:val="32"/>
          <w:lang w:eastAsia="zh-CN"/>
        </w:rPr>
        <w:t>随着我国进一步扩大对外开放，进口大豆市场贸易形势持续发展，为适应新的贸易发展需求，保障国门生物安全，需优化完善该管理规范：一是优化检疫监管流程，降低企业经营成本，满足贸易发展和监管需要。二是固化改革成果，吸纳便利化措施和机构改革成果，以制度化实施。三是优化完善具体监管措施，增强执行过程中的适配性和灵活性。现将有关情况说明如下：</w:t>
      </w:r>
    </w:p>
    <w:p>
      <w:pPr>
        <w:pStyle w:val="3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Chars="200" w:firstLine="640"/>
        <w:jc w:val="both"/>
        <w:rPr>
          <w:rFonts w:ascii="方正黑体_GBK" w:eastAsia="方正黑体_GBK" w:cs="方正黑体_GBK" w:hint="eastAsia"/>
          <w:bCs/>
          <w:sz w:val="32"/>
          <w:szCs w:val="32"/>
          <w:lang w:eastAsia="zh-CN" w:bidi="ar-SA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 w:bidi="ar-SA"/>
        </w:rPr>
        <w:t>二</w:t>
      </w:r>
      <w:r>
        <w:rPr>
          <w:rFonts w:ascii="方正黑体_GBK" w:eastAsia="方正黑体_GBK" w:cs="方正黑体_GBK" w:hint="eastAsia"/>
          <w:bCs/>
          <w:sz w:val="32"/>
          <w:szCs w:val="32"/>
          <w:lang w:eastAsia="zh-CN" w:bidi="ar-SA"/>
        </w:rPr>
        <w:t>、主要修订内容</w:t>
      </w:r>
    </w:p>
    <w:p>
      <w:pPr>
        <w:pStyle w:val="3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Chars="200" w:firstLine="640"/>
        <w:jc w:val="both"/>
        <w:textAlignment w:val="auto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以</w:t>
      </w:r>
      <w:r>
        <w:rPr>
          <w:rFonts w:eastAsia="方正仿宋_GBK" w:hint="eastAsia"/>
          <w:sz w:val="32"/>
          <w:szCs w:val="32"/>
          <w:lang w:eastAsia="zh-CN"/>
        </w:rPr>
        <w:t>“</w:t>
      </w:r>
      <w:r>
        <w:rPr>
          <w:rFonts w:eastAsia="方正仿宋_GBK"/>
          <w:sz w:val="32"/>
          <w:szCs w:val="32"/>
          <w:lang w:eastAsia="zh-CN"/>
        </w:rPr>
        <w:t>风险可控、规范管理、便利贸易</w:t>
      </w:r>
      <w:r>
        <w:rPr>
          <w:rFonts w:eastAsia="方正仿宋_GBK" w:hint="eastAsia"/>
          <w:sz w:val="32"/>
          <w:szCs w:val="32"/>
          <w:lang w:eastAsia="zh-CN"/>
        </w:rPr>
        <w:t>”</w:t>
      </w:r>
      <w:r>
        <w:rPr>
          <w:rFonts w:eastAsia="方正仿宋_GBK"/>
          <w:sz w:val="32"/>
          <w:szCs w:val="32"/>
          <w:lang w:eastAsia="zh-CN"/>
        </w:rPr>
        <w:t>为总体思路，在检疫风险可控的前提下，降低企业成本，促进期货交割便利化。</w:t>
      </w:r>
      <w:r>
        <w:rPr>
          <w:rFonts w:eastAsia="方正仿宋_GBK"/>
          <w:color w:val="000000"/>
          <w:sz w:val="32"/>
          <w:szCs w:val="32"/>
          <w:lang w:eastAsia="zh-CN"/>
        </w:rPr>
        <w:t>管理规范</w:t>
      </w:r>
      <w:r>
        <w:rPr>
          <w:rFonts w:eastAsia="方正仿宋_GBK"/>
          <w:sz w:val="32"/>
          <w:szCs w:val="32"/>
          <w:lang w:eastAsia="zh-CN"/>
        </w:rPr>
        <w:t>修订后共有23条。</w:t>
      </w:r>
      <w:r>
        <w:rPr>
          <w:rFonts w:eastAsia="方正仿宋_GBK"/>
          <w:sz w:val="32"/>
          <w:szCs w:val="32"/>
          <w:lang w:eastAsia="zh-CN" w:bidi="ar-SA"/>
        </w:rPr>
        <w:t>主要修订内容如下：</w:t>
      </w:r>
    </w:p>
    <w:p>
      <w:pPr>
        <w:pStyle w:val="3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bCs/>
          <w:sz w:val="32"/>
          <w:szCs w:val="32"/>
          <w:lang w:val="en-US" w:eastAsia="zh-CN" w:bidi="ar-SA"/>
        </w:rPr>
        <w:t>（一）</w:t>
      </w:r>
      <w:r>
        <w:rPr>
          <w:rFonts w:eastAsia="方正仿宋_GBK"/>
          <w:sz w:val="32"/>
          <w:szCs w:val="32"/>
          <w:lang w:eastAsia="zh-CN"/>
        </w:rPr>
        <w:t>根据海关监管要求及信息化系统完善情况，明确进口大豆调运手续电子化办理程序和要求，不再要求纸质办理</w:t>
      </w:r>
      <w:r>
        <w:rPr>
          <w:rFonts w:eastAsia="方正仿宋_GBK"/>
          <w:color w:val="000000"/>
          <w:sz w:val="32"/>
          <w:szCs w:val="32"/>
        </w:rPr>
        <w:t>。</w:t>
      </w:r>
    </w:p>
    <w:p>
      <w:pPr>
        <w:pStyle w:val="3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bCs/>
          <w:color w:val="000000"/>
          <w:sz w:val="32"/>
          <w:szCs w:val="32"/>
          <w:lang w:eastAsia="zh-CN"/>
        </w:rPr>
      </w:pPr>
      <w:r>
        <w:rPr>
          <w:rFonts w:eastAsia="方正仿宋_GBK"/>
          <w:bCs/>
          <w:sz w:val="32"/>
          <w:szCs w:val="32"/>
          <w:lang w:eastAsia="zh-CN" w:bidi="ar-SA"/>
        </w:rPr>
        <w:t>（二）</w:t>
      </w:r>
      <w:r>
        <w:rPr>
          <w:rFonts w:eastAsia="方正仿宋_GBK"/>
          <w:sz w:val="32"/>
          <w:szCs w:val="32"/>
          <w:lang w:eastAsia="zh-CN"/>
        </w:rPr>
        <w:t>明确由大商所建立并维护</w:t>
      </w:r>
      <w:r>
        <w:rPr>
          <w:rFonts w:eastAsia="方正仿宋_GBK"/>
          <w:sz w:val="32"/>
          <w:szCs w:val="32"/>
          <w:lang w:eastAsia="zh-CN" w:bidi="ar-SA"/>
        </w:rPr>
        <w:t>进口商及境内交易商</w:t>
      </w:r>
      <w:r>
        <w:rPr>
          <w:rFonts w:eastAsia="方正仿宋_GBK"/>
          <w:sz w:val="32"/>
          <w:szCs w:val="32"/>
          <w:lang w:eastAsia="zh-CN"/>
        </w:rPr>
        <w:t>白名单，有效衔接交易管理制度，进一步提高企业自主灵活性及管理效率，促进合规交易</w:t>
      </w:r>
      <w:r>
        <w:rPr>
          <w:rFonts w:eastAsia="方正仿宋_GBK"/>
          <w:bCs/>
          <w:color w:val="000000"/>
          <w:sz w:val="32"/>
          <w:szCs w:val="32"/>
          <w:lang w:eastAsia="zh-CN"/>
        </w:rPr>
        <w:t>。</w:t>
      </w:r>
    </w:p>
    <w:p>
      <w:pPr>
        <w:pStyle w:val="3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bCs/>
          <w:color w:val="000000"/>
          <w:sz w:val="32"/>
          <w:szCs w:val="32"/>
          <w:lang w:eastAsia="zh-CN"/>
        </w:rPr>
      </w:pPr>
      <w:r>
        <w:rPr>
          <w:rFonts w:eastAsia="方正仿宋_GBK"/>
          <w:bCs/>
          <w:sz w:val="32"/>
          <w:szCs w:val="32"/>
          <w:lang w:eastAsia="zh-CN" w:bidi="ar-SA"/>
        </w:rPr>
        <w:t>（三）</w:t>
      </w:r>
      <w:r>
        <w:rPr>
          <w:rFonts w:eastAsia="方正仿宋_GBK"/>
          <w:sz w:val="32"/>
          <w:szCs w:val="32"/>
          <w:lang w:eastAsia="zh-CN"/>
        </w:rPr>
        <w:t>取消已到港大豆流向、用途变更不少于1000吨、不得跨直属关区调运等要求，适应期货交易需求，降低企业参与交割成本</w:t>
      </w:r>
      <w:r>
        <w:rPr>
          <w:rFonts w:eastAsia="方正仿宋_GBK"/>
          <w:bCs/>
          <w:sz w:val="32"/>
          <w:szCs w:val="32"/>
          <w:lang w:eastAsia="zh-CN"/>
        </w:rPr>
        <w:t>。</w:t>
      </w:r>
    </w:p>
    <w:p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bCs/>
          <w:sz w:val="32"/>
          <w:szCs w:val="32"/>
          <w:lang w:eastAsia="zh-CN" w:bidi="ar-SA"/>
        </w:rPr>
      </w:pPr>
      <w:r>
        <w:rPr>
          <w:rFonts w:eastAsia="方正仿宋_GBK"/>
          <w:bCs/>
          <w:sz w:val="32"/>
          <w:szCs w:val="32"/>
          <w:lang w:eastAsia="zh-CN" w:bidi="ar-SA"/>
        </w:rPr>
        <w:t>（四）</w:t>
      </w:r>
      <w:r>
        <w:rPr>
          <w:rFonts w:eastAsia="方正仿宋_GBK"/>
          <w:sz w:val="32"/>
          <w:szCs w:val="32"/>
          <w:lang w:eastAsia="zh-CN"/>
        </w:rPr>
        <w:t>细化进口大豆期货交割库考核要求、检疫许可证办理、调运管理等内容，明确期货交割库在口岸监管区内或外的调运审核程序、海关对期货交割库的管理方式、进口大豆在期货交割库中存储要求等。</w:t>
      </w:r>
    </w:p>
    <w:p>
      <w:pPr>
        <w:pStyle w:val="38"/>
        <w:autoSpaceDE w:val="0"/>
        <w:autoSpaceDN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  <w:lang w:eastAsia="zh-CN" w:bidi="ar-SA"/>
        </w:rPr>
      </w:pPr>
      <w:r>
        <w:rPr>
          <w:rFonts w:eastAsia="方正仿宋_GBK"/>
          <w:kern w:val="0"/>
          <w:sz w:val="32"/>
          <w:szCs w:val="32"/>
          <w:lang w:eastAsia="zh-CN" w:bidi="ar-SA"/>
        </w:rPr>
        <w:t>特此说明。</w:t>
      </w:r>
    </w:p>
    <w:p>
      <w:pPr>
        <w:pStyle w:val="38"/>
        <w:autoSpaceDE w:val="0"/>
        <w:autoSpaceDN w:val="0"/>
        <w:spacing w:line="560" w:lineRule="exact"/>
        <w:ind w:firstLineChars="200" w:firstLine="640"/>
        <w:rPr>
          <w:rFonts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pStyle w:val="21"/>
        <w:spacing w:line="560" w:lineRule="exact"/>
        <w:ind w:firstLineChars="200" w:firstLine="420"/>
      </w:pPr>
    </w:p>
    <w:sectPr>
      <w:pgSz w:w="11906" w:h="16838"/>
      <w:pgMar w:top="1440" w:right="1800" w:bottom="1440" w:left="1800" w:header="851" w:footer="992" w:gutter="0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2000000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DejaVu Sans">
    <w:altName w:val="Segoe Script"/>
    <w:panose1 w:val="020B0603030804020204"/>
    <w:charset w:val="00"/>
    <w:family w:val="auto"/>
    <w:pitch w:val="variable"/>
    <w:sig w:usb0="E7006EFF" w:usb1="D200FDFF" w:usb2="0A246029" w:usb3="0400200C" w:csb0="600001FF" w:csb1="D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FFFFF82"/>
    <w:multiLevelType w:val="single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1200"/>
        </w:tabs>
        <w:ind w:left="1200" w:hanging="360"/>
      </w:pPr>
      <w:rPr>
        <w:rFonts w:ascii="DejaVu Sans" w:hAnsi="DejaVu San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90"/>
  <w:doNotDisplayPageBoundaries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30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styleId="16">
    <w:name w:val="annotation text"/>
    <w:basedOn w:val="0"/>
    <w:pPr>
      <w:jc w:val="left"/>
    </w:pPr>
  </w:style>
  <w:style w:type="paragraph" w:styleId="17">
    <w:name w:val="List Bullet 3"/>
    <w:basedOn w:val="0"/>
    <w:pPr>
      <w:numPr>
        <w:ilvl w:val="0"/>
        <w:numId w:val="1"/>
      </w:numPr>
    </w:pPr>
  </w:style>
  <w:style w:type="paragraph" w:styleId="18">
    <w:name w:val="Title"/>
    <w:basedOn w:val="0"/>
    <w:pPr>
      <w:spacing w:before="240" w:after="60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styleId="19">
    <w:name w:val="Signature"/>
    <w:basedOn w:val="0"/>
    <w:pPr>
      <w:ind w:left="4320"/>
    </w:pPr>
  </w:style>
  <w:style w:type="paragraph" w:customStyle="1" w:styleId="20">
    <w:name w:val="样式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1">
    <w:name w:val="样式 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2">
    <w:name w:val="样式 1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3">
    <w:name w:val="样式 三号"/>
    <w:basedOn w:val="0"/>
    <w:pPr>
      <w:widowControl w:val="0"/>
      <w:spacing w:line="586" w:lineRule="exact"/>
      <w:ind w:firstLineChars="200" w:firstLine="200"/>
      <w:jc w:val="both"/>
    </w:pPr>
    <w:rPr>
      <w:rFonts w:ascii="Times New Roman" w:eastAsia="方正仿宋_GBK" w:cs="Arial" w:hAnsi="Times New Roman"/>
      <w:color w:val="000000"/>
      <w:kern w:val="2"/>
      <w:sz w:val="32"/>
      <w:szCs w:val="22"/>
      <w:lang w:val="en-US" w:eastAsia="zh-CN" w:bidi="ar-SA"/>
    </w:rPr>
  </w:style>
  <w:style w:type="paragraph" w:customStyle="1" w:styleId="24">
    <w:name w:val="样式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5">
    <w:name w:val="样式 1 三号"/>
    <w:basedOn w:val="0"/>
    <w:pPr>
      <w:widowControl w:val="0"/>
      <w:spacing w:line="586" w:lineRule="exact"/>
      <w:ind w:firstLineChars="200" w:firstLine="200"/>
      <w:jc w:val="both"/>
    </w:pPr>
    <w:rPr>
      <w:rFonts w:ascii="Times New Roman" w:eastAsia="方正仿宋_GBK" w:cs="Arial" w:hAnsi="Times New Roman"/>
      <w:color w:val="000000"/>
      <w:kern w:val="2"/>
      <w:sz w:val="32"/>
      <w:szCs w:val="22"/>
      <w:lang w:val="en-US" w:eastAsia="zh-CN" w:bidi="ar-SA"/>
    </w:rPr>
  </w:style>
  <w:style w:type="paragraph" w:customStyle="1" w:styleId="26">
    <w:name w:val="样式 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7">
    <w:name w:val="样式 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8">
    <w:name w:val="样式 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9">
    <w:name w:val="样式 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">
    <w:name w:val="样式 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1">
    <w:name w:val="样式 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2">
    <w:name w:val="样式 8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33">
    <w:name w:val="样式 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4">
    <w:name w:val="样式 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5">
    <w:name w:val="样式 63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6">
    <w:name w:val="样式 1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styleId="37">
    <w:name w:val="toc 3"/>
    <w:basedOn w:val="0"/>
    <w:autoRedefine/>
    <w:next w:val="0"/>
    <w:pPr>
      <w:ind w:left="840"/>
    </w:pPr>
  </w:style>
  <w:style w:type="paragraph" w:customStyle="1" w:styleId="38">
    <w:name w:val="样式 1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9">
    <w:name w:val="样式 16 小四"/>
    <w:rPr>
      <w:rFonts w:ascii="Times New Roman" w:eastAsia="宋体" w:cs="Times New Roman" w:hAnsi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80</TotalTime>
  <Application>Yozo_Office</Application>
  <Pages>1</Pages>
  <Words>4</Words>
  <Characters>4</Characters>
  <Lines>1</Lines>
  <Paragraphs>1</Paragraphs>
  <CharactersWithSpaces>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李佳欢</dc:creator>
  <cp:lastModifiedBy>刘欣棉（外部)</cp:lastModifiedBy>
  <cp:revision>1</cp:revision>
  <dcterms:created xsi:type="dcterms:W3CDTF">2025-04-29T02:46:00Z</dcterms:created>
  <dcterms:modified xsi:type="dcterms:W3CDTF">2025-06-16T07:37:11Z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2052-12.1.0.20784</vt:lpwstr>
  </property>
  <property fmtid="{D5CDD505-2E9C-101B-9397-08002B2CF9AE}" pid="3" name="ICV">
    <vt:lpwstr>F810049B30224D2CB0A9BFD431AE796C_11</vt:lpwstr>
  </property>
  <property fmtid="{D5CDD505-2E9C-101B-9397-08002B2CF9AE}" pid="4" name="KSOTemplateDocerSaveRecord">
    <vt:lpwstr>eyJoZGlkIjoiYjUzOTZhYTAxZmZhNzk3MTJiOTQ0ZmE0OGE4NDZjYTEiLCJ1c2VySWQiOiI0NzM3NzA4NTMifQ==</vt:lpwstr>
  </property>
</Properties>
</file>