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《电子凭证会计数据标准——电子非税收入一般缴款书（试行版）》指南</w:t>
      </w:r>
    </w:p>
    <w:p>
      <w:pPr>
        <w:pStyle w:val="11"/>
        <w:wordWrap/>
        <w:spacing w:after="0" w:line="560" w:lineRule="exact"/>
      </w:pPr>
      <w:r>
        <w:rPr>
          <w:rFonts w:hint="eastAsia"/>
        </w:rPr>
        <w:t>为进一步深化非税收入收缴改革，加快电子非税收入一般缴款书应用和推广实施工作，助力国家数字经济发展和会计信息化建设，提升财政监管效能，财政部遵循《可扩展商业报告语言（XBRL）技术规范》（GB/T 25500-2010）系列国家标准，研究起草了《电子凭证会计数据标准——电子非税收入一般缴款书（试行版）》（以下简称《非税收入一般缴款书</w:t>
      </w:r>
      <w:r>
        <w:rPr>
          <w:rFonts w:hint="eastAsia"/>
          <w:lang w:eastAsia="zh-CN"/>
        </w:rPr>
        <w:t>标准</w:t>
      </w:r>
      <w:r>
        <w:rPr>
          <w:rFonts w:hint="eastAsia"/>
        </w:rPr>
        <w:t>》）。《非税收入一般缴款书</w:t>
      </w:r>
      <w:r>
        <w:rPr>
          <w:rFonts w:hint="eastAsia"/>
          <w:lang w:eastAsia="zh-CN"/>
        </w:rPr>
        <w:t>标准</w:t>
      </w:r>
      <w:r>
        <w:rPr>
          <w:rFonts w:hint="eastAsia"/>
        </w:rPr>
        <w:t>》以现行电子非税收入一般缴款书为基础，同时考虑非税系统与预算管理一体化系统的业务衔接与数据交互，反映了非税收入一般缴款书承载的全部业务信息和会计信息，以便企业在信息化条件下对相关业务进行会计处理并完成归档工作。同时，《非税收入一般缴款书</w:t>
      </w:r>
      <w:r>
        <w:rPr>
          <w:rFonts w:hint="eastAsia"/>
          <w:lang w:eastAsia="zh-CN"/>
        </w:rPr>
        <w:t>标准</w:t>
      </w:r>
      <w:r>
        <w:rPr>
          <w:rFonts w:hint="eastAsia"/>
        </w:rPr>
        <w:t>》对一般缴款书的开具、报销、入账、归档过程中产生的相关会计信息和票据状态信息进行了标准规范，能够防止非税收入一般缴款书在企事业单位端重复入账。为方便阅读理解，我们起草了《电子凭证会计数据标准——电子非税收入一般缴款书（试行版）》元素清单和本指南。</w:t>
      </w:r>
    </w:p>
    <w:p>
      <w:pPr>
        <w:pStyle w:val="11"/>
        <w:wordWrap/>
        <w:spacing w:after="0" w:line="560" w:lineRule="exact"/>
      </w:pPr>
      <w:r>
        <w:rPr>
          <w:rFonts w:hint="eastAsia"/>
        </w:rPr>
        <w:t>本指南作为《非税收入一般缴款书</w:t>
      </w:r>
      <w:r>
        <w:rPr>
          <w:rFonts w:hint="eastAsia"/>
          <w:lang w:eastAsia="zh-CN"/>
        </w:rPr>
        <w:t>标准</w:t>
      </w:r>
      <w:r>
        <w:rPr>
          <w:rFonts w:hint="eastAsia"/>
        </w:rPr>
        <w:t>》使用和实例文档解析的说明文件，应与元素清单一并阅读，旨在帮助软件开发商和非税收入一般缴款书的接收单位了解《非税收入一般缴款书</w:t>
      </w:r>
      <w:r>
        <w:rPr>
          <w:rFonts w:hint="eastAsia"/>
          <w:lang w:eastAsia="zh-CN"/>
        </w:rPr>
        <w:t>标准</w:t>
      </w:r>
      <w:r>
        <w:rPr>
          <w:rFonts w:hint="eastAsia"/>
        </w:rPr>
        <w:t>》的架构、内容以及实例文档的要素和解析方式。</w:t>
      </w:r>
    </w:p>
    <w:p>
      <w:pPr>
        <w:pStyle w:val="8"/>
        <w:numPr>
          <w:ilvl w:val="0"/>
          <w:numId w:val="1"/>
        </w:numPr>
        <w:wordWrap/>
        <w:spacing w:line="560" w:lineRule="exact"/>
        <w:ind w:firstLineChars="0"/>
        <w:outlineLvl w:val="0"/>
      </w:pPr>
      <w:r>
        <w:rPr>
          <w:rFonts w:hint="eastAsia"/>
        </w:rPr>
        <w:t>概述</w:t>
      </w:r>
    </w:p>
    <w:p>
      <w:pPr>
        <w:pStyle w:val="10"/>
        <w:numPr>
          <w:ilvl w:val="0"/>
          <w:numId w:val="2"/>
        </w:numPr>
        <w:wordWrap/>
        <w:spacing w:line="560" w:lineRule="exact"/>
        <w:ind w:firstLine="560"/>
        <w:outlineLvl w:val="1"/>
        <w:rPr>
          <w:rFonts w:ascii="Times New Roman" w:hAnsi="Times New Roman"/>
        </w:rPr>
      </w:pPr>
      <w:r>
        <w:rPr>
          <w:rFonts w:hint="eastAsia" w:ascii="Times New Roman" w:hAnsi="Times New Roman"/>
        </w:rPr>
        <w:t>电子非税收入一般缴款书介绍</w:t>
      </w:r>
    </w:p>
    <w:p>
      <w:pPr>
        <w:pStyle w:val="11"/>
        <w:wordWrap/>
        <w:spacing w:after="0" w:line="560" w:lineRule="exact"/>
      </w:pPr>
      <w:r>
        <w:rPr>
          <w:rFonts w:hint="eastAsia"/>
        </w:rPr>
        <w:t>非税收入一般缴款书作为非税收入国库集中收缴管理通用凭证，具有缴款凭证和收款收据功能，由执收单位收缴非税收入时依规开具。电子非税收入一般缴款书是指运用计算机和信息网络技术开具、存储、传输和接收的数字电文形式的凭证，是以电子数据形式表现的非税收入一般缴款书，与纸质非税收入一般缴款书具有同等法律效力，财政部门、执收单位和缴款人依规归档保存。</w:t>
      </w:r>
    </w:p>
    <w:p>
      <w:pPr>
        <w:pStyle w:val="10"/>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非税收入行为发生后，执收单位将含缴款码的非税收入一般缴款书结构化数据推送至财政监管部门。缴款人向财政缴纳款项后，财政监管部门追加监管信息，并通过X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工具包生成实例文档封装到PDF文件，形成电子凭证非税收入一般缴款书。缴款人获取电子凭证非税收入一般缴款书后，可通过X</w:t>
      </w:r>
      <w:r>
        <w:rPr>
          <w:rFonts w:ascii="Times New Roman" w:hAnsi="Times New Roman" w:eastAsia="仿宋_GB2312"/>
          <w:sz w:val="28"/>
          <w:szCs w:val="28"/>
        </w:rPr>
        <w:t>BRL</w:t>
      </w:r>
      <w:r>
        <w:rPr>
          <w:rFonts w:hint="eastAsia" w:ascii="Times New Roman" w:hAnsi="Times New Roman" w:eastAsia="仿宋_GB2312"/>
          <w:sz w:val="28"/>
          <w:szCs w:val="28"/>
        </w:rPr>
        <w:t>工具包解析电子凭证非税收入一般缴款书底层的结构化数据并同步标记票据状态。企业、单位在使用电子凭证非税收入一般缴款书报销、入账时，财务共享系统将即时回传票据状态信息和相关会计信息，生成包含有票据状态信息、会计主体信息和基础会计信息的XBRL格式的实例文档数据进行归档备查。</w:t>
      </w: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电子非税收入一般缴款书开具方</w:t>
      </w:r>
    </w:p>
    <w:p>
      <w:pPr>
        <w:pStyle w:val="10"/>
        <w:numPr>
          <w:ilvl w:val="0"/>
          <w:numId w:val="3"/>
        </w:numPr>
        <w:wordWrap/>
        <w:spacing w:line="560" w:lineRule="exact"/>
        <w:ind w:firstLine="560" w:firstLineChars="0"/>
        <w:outlineLvl w:val="1"/>
      </w:pPr>
      <w:r>
        <w:rPr>
          <w:rFonts w:hint="eastAsia"/>
        </w:rPr>
        <w:t>电子非税收入一般缴款书</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电子非税收入一般缴款书开具方示例：</w:t>
      </w:r>
    </w:p>
    <w:tbl>
      <w:tblPr>
        <w:tblStyle w:val="6"/>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Arial"/>
                <w:sz w:val="24"/>
                <w:szCs w:val="24"/>
                <w:lang w:val="en-US" w:eastAsia="zh-CN" w:bidi="ar-SA"/>
              </w:rPr>
            </w:pPr>
            <w:bookmarkStart w:id="0" w:name="_GoBack"/>
            <w:r>
              <w:rPr>
                <w:rFonts w:ascii="Times New Roman" w:hAnsi="Times New Roman" w:eastAsia="仿宋_GB2312" w:cs="Arial"/>
                <w:sz w:val="24"/>
                <w:szCs w:val="24"/>
                <w:lang w:val="en-US" w:eastAsia="zh-CN" w:bidi="ar-SA"/>
              </w:rPr>
              <w:t>&lt;xbrli:xbrl xmlns="http://www.xbrl.org/2003/instance" xmlns:ntrev="http://xbrl.mof.gov.cn/taxonomy/2023-05-15/ntrev" xmlns:link="http://www.xbrl.org/2003/linkbase" xmlns:iso4217="http://www.xbrl.org/2003/iso4217" xmlns:xbrli="http://www.xbrl.org/2003/instance" xmlns:xsi="http://www.w3.org/2001/XMLSchema-instance" xmlns:xlink="http://www.w3.org/1999/xlink" xsi:schemaLocation="http://www.xbrl.org/2003/linkbase http://www.xbrl.org/2003/xbrl-linkbase-2003-12-31.xsd"&gt;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&lt;link:schemaRef xlink:type="simple" xlink:href="ntrev_issuer_entry_point_2023-05-15.xsd"/&gt;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&lt;xbrli:context id="c1"&gt;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&lt;xbrli:entity&gt;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&lt;xbrli:identifier scheme="http://xbrl.mof.gov.cn"&gt;0000003&lt;/xbrli:identifier&gt;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&lt;/xbrli:entity&gt;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&lt;xbrli:period&gt;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&lt;xbrli:instant&gt;2021-08-24&lt;/xbrli:instant&gt;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&lt;/xbrli:period&gt;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&lt;/xbrli:context&gt;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&lt;xbrli:unit id="u1"&gt;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&lt;xbrli:measure&gt;iso4217:CNY&lt;/xbrli:measure&gt;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&lt;/xbrli:unit&gt;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&lt;ntrev:HEADER&gt;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&lt;ntrev:EINVOICE_TAG contextRef="c1"&gt;CZ-EI-00&lt;/ntrev:EINVOICE_TAG&gt;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&lt;ntrev:EINVOICE_ID contextRef="c1"&gt;2800070000-12103000&lt;/ntrev:EINVOICE_ID&gt;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&lt;ntrev:VERSION contextRef="c1"&gt;2.0.0.1&lt;/ntrev:VERSION&gt;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&lt;/ntrev:HEADER&gt;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&lt;ntrev:EINVOICE_DATA&gt;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&lt;ntrev:MAIN&gt;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&lt;ntrev:EINVOICE_NAME contextRef="c1"&gt;中央非税收入缴款书_电子票&lt;/ntrev:EINVOICE_NAME&gt;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&lt;ntrev:EINVOICE_CODE contextRef="c1"&gt;00030121&lt;/ntrev:EINVOICE_CODE&gt;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&lt;ntrev:NON_TAX_PAY_NO contextRef="c1"&gt;0000700082&lt;/ntrev:NON_TAX_PAY_NO&gt;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&lt;ntrev:NON_TAX_PAY_CODE contextRef="c1"&gt;0000002100042048&lt;/ntrev:NON_TAX_PAY_CODE&gt;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&lt;ntrev:RANDOM_NUMBER contextRef="c1"&gt;90007d&lt;/ntrev:RANDOM_NUMBER&gt;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&lt;ntrev:EINVOICE_SPECIMEN_CODE contextRef="c1"&gt;0003012113&lt;/ntrev:EINVOICE_SPECIMEN_CODE&gt;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&lt;ntrev:SUPERVISOR_AREA_CODE contextRef="c1"&gt;000000&lt;/ntrev:SUPERVISOR_AREA_CODE&gt;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&lt;ntrev:BILL_DATE contextRef="c1"&gt;2021-08-24&lt;/ntrev:BILL_DATE&gt;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&lt;ntrev:BILL_TIME contextRef="c1"&gt;18:47:37&lt;/ntrev:BILL_TIME&gt;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&lt;ntrev:PAID_AMT decimals="2" contextRef="c1" unitRef="u1"&gt;200.00&lt;/ntrev:PAID_AMT&gt;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&lt;ntrev:EXEC_AGENCY_PARTY&gt;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&lt;ntrev:EXEC_AGENCY_CODE contextRef="c1"&gt;0000003&lt;/ntrev:EXEC_AGENCY_CODE&gt;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&lt;ntrev:EXEC_AGENCY_NAME contextRef="c1"&gt;非试点单位&lt;/ntrev:EXEC_AGENCY_NAME&gt;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&lt;ntrev:REC_ACCT_TYPE contextRef="c1"&gt;2&lt;/ntrev:REC_ACCT_TYPE&gt;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&lt;ntrev:PAYEE_ACCT_NAME contextRef="c1"&gt;测试单位&lt;/ntrev:PAYEE_ACCT_NAME&gt;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&lt;ntrev:PAYEE_ACCT_NO contextRef="c1"&gt;7867867867&lt;/ntrev:PAYEE_ACCT_NO&gt;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&lt;ntrev:PAYEE_ACCT_BANK_NAME contextRef="c1"&gt;中信银行股份有限公司北京交大支行&lt;/ntrev:PAYEE_ACCT_BANK_NAME&gt;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&lt;/ntrev:EXEC_AGENCY_PARTY&gt;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&lt;ntrev:PAYER_PARTY&gt;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&lt;ntrev:PAYER_PARTY_TYPE_CODE contextRef="c1"&gt;1&lt;/ntrev:PAYER_PARTY_TYPE_CODE&gt;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&lt;ntrev:PAYER_PARTY_CODE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&lt;ntrev:PAYER_NAME contextRef="c1"&gt;test查看&lt;/ntrev:PAYER_NAME&gt;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&lt;ntrev:PAYER_ACC_NO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&lt;ntrev:PAYER_OPEN_BANK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&lt;/ntrev:PAYER_PARTY&gt;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&lt;ntrev:PAY_IN_MET_CODE contextRef="c1"&gt;1&lt;/ntrev:PAY_IN_MET_CODE&gt;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&lt;ntrev:BIZ_CODE contextRef="c1"&gt;afd578c8c2264b6bb05c19acba81fddd&lt;/ntrev:BIZ_CODE&gt;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&lt;ntrev:REMARK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&lt;ntrev:AUTHOR contextRef="c1"&gt;0000003&lt;/ntrev:AUTHOR&gt;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&lt;ntrev:CHECKER contextRef="c1"&gt;0000003&lt;/ntrev:CHECKER&gt;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&lt;ntrev:SUPERVISOR_REMARK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&lt;ntrev:MAIN_EXT&gt;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&lt;ntrev:RELATED_INVOICE_CODE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&lt;ntrev:RELATED_INVOICE_NUMBER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&lt;/ntrev:MAIN_EXT&gt;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&lt;ntrev:INVOICING_PARTY_SEAL&gt;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&lt;ntrev:SEAL_ID contextRef="c1"&gt;c95ceecff8da4f9985fb031ae37904ad&lt;/ntrev:SEAL_ID&gt;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&lt;ntrev:SEAL_NAME contextRef="c1"&gt;非试点单位&lt;/ntrev:SEAL_NAME&gt;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&lt;ntrev:SEAL_HASH contextRef="c1"&gt;5890559faaec52ea622ab9b8a6456592aed55377959617a38d85f948bdbbac9e&lt;/ntrev:SEAL_HASH&gt;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&lt;/ntrev:INVOICING_PARTY_SEAL&gt;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&lt;ntrev:SUPERVISOR_PARTY_SEAL&gt;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&lt;ntrev:SEAL_ID contextRef="c1"&gt;c95ceecff8da4f9985fb031ae37904ad&lt;/ntrev:SEAL_ID&gt;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&lt;ntrev:SEAL_NAME contextRef="c1"&gt;非试点单位&lt;/ntrev:SEAL_NAME&gt;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&lt;ntrev:SEAL_HASH contextRef="c1"&gt;5890559faaec52ea622ab9b8a6456592aed55377959617a38d85f948bdbbac9e&lt;/ntrev:SEAL_HASH&gt;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&lt;/ntrev:SUPERVISOR_PARTY_SEAL&gt;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&lt;/ntrev:MAIN&gt;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&lt;ntrev:DETAILS&gt;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&lt;ntrev:ITEM&gt;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&lt;ntrev:NON_TAX_CODE contextRef="c1"&gt;011002&lt;/ntrev:NON_TAX_CODE&gt;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&lt;ntrev:NON_TAX_PROJ_CODE contextRef="c1"&gt;000010000056&lt;/ntrev:NON_TAX_PROJ_CODE&gt;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&lt;ntrev:NON_TAX_NAME contextRef="c1"&gt;电信网码号资源占用费&lt;/ntrev:NON_TAX_NAME&gt;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&lt;ntrev:PAY_NUMBER decimals="4" contextRef="c1" unitRef="u1"&gt;1.0000&lt;/ntrev:PAY_NUMBER&gt;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&lt;ntrev:CHARGE_STAND_UNIT contextRef="c1"&gt;元&lt;/ntrev:CHARGE_STAND_UNIT&gt;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&lt;ntrev:CHARGE_STAND_NAME contextRef="c1"&gt;电信网码号资源占用费&lt;/ntrev:CHARGE_STAND_NAME&gt;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&lt;ntrev:CHARGE_STAND decimals="4" contextRef="c1" unitRef="u1"&gt;100.0000&lt;/ntrev:CHARGE_STAND&gt;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&lt;ntrev:PAID_DETAIL_AMT decimals="2" contextRef="c1" unitRef="u1"&gt;100.00&lt;/ntrev:PAID_DETAIL_AMT&gt;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&lt;ntrev:ITEM_REMARK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&lt;/ntrev:ITEM&gt;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&lt;ntrev:ITEM&gt;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&lt;ntrev:NON_TAX_CODE contextRef="c1"&gt;011002&lt;/ntrev:NON_TAX_CODE&gt;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&lt;ntrev:NON_TAX_PROJ_CODE contextRef="c1"&gt;000010000056&lt;/ntrev:NON_TAX_PROJ_CODE&gt;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&lt;ntrev:NON_TAX_NAME contextRef="c1"&gt;电信网码号资源占用费&lt;/ntrev:NON_TAX_NAME&gt;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&lt;ntrev:PAY_NUMBER decimals="4" contextRef="c1" unitRef="u1"&gt;1.0000&lt;/ntrev:PAY_NUMBER&gt;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&lt;ntrev:CHARGE_STAND_UNIT contextRef="c1"&gt;元&lt;/ntrev:CHARGE_STAND_UNIT&gt;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&lt;ntrev:CHARGE_STAND_NAME contextRef="c1"&gt;电信网码号资源占用费&lt;/ntrev:CHARGE_STAND_NAME&gt;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&lt;ntrev:CHARGE_STAND decimals="4" contextRef="c1" unitRef="u1"&gt;100.0000&lt;/ntrev:CHARGE_STAND&gt;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&lt;ntrev:PAID_DETAIL_AMT decimals="2" contextRef="c1" unitRef="u1"&gt;100.00&lt;/ntrev:PAID_DETAIL_AMT&gt;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&lt;ntrev:ITEM_REMARK contextRef="c1"/&gt;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&lt;/ntrev:ITEM&gt;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&lt;/ntrev:DETAILS&gt;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&lt;/ntrev:EINVOICE_DATA&gt;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&lt;ntrev:EINVOICE_SIGNATURE&gt;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&lt;ntrev:INVOICING_PARTY_SIGNATURE&gt;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&lt;ntrev:SIGNED_INFO&gt;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&lt;ntrev:REFERENCE contextRef="c1"&gt;/EINVOICE/HEADER|/EINVOICE/EINVOICE_DATA&lt;/ntrev:REFERENCE&gt;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&lt;ntrev:SIGNATURE_ALGORITHM contextRef="c1"&gt;SHA256withRSAEncryption&lt;/ntrev:SIGNATURE_ALGORITHM&gt;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&lt;ntrev:SIGNATURE_FORMAT contextRef="c1"&gt;DETACH&lt;/ntrev:SIGNATURE_FORMAT&gt;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&lt;/ntrev:SIGNED_INFO&gt;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&lt;ntrev:SIGNATURE_TIME contextRef="c1"&gt;20210825102603+0800&lt;/ntrev:SIGNATURE_TIME&gt;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&lt;ntrev:SIGNATURE_VALUE contextRef="c1"&gt;MIID0wYJKoZIhvcNAQcCoIIDxDCCA8ACAQExCTAHBgUrDgMCGjALBgkqhkiG9w0BBwGgggJfMIICWzCCAcSgAwIBAgIEWZuoxzANBgkqhkiG9w0BAQUFADByMQ8wDQYDVQQGDAbkuK3lm70xDzANBgNVBAgMBuemj+W7ujEPMA0GA1UEBwwG56aP5beeMRUwEwYDVQQKDAzljZrmgJ3ova/ku7YxFTATBgNVBAsMDOWNmuaAnei9r+S7tjEPMA0GA1UEAwwG5byg5pyIMB4XDTE3MDgyMjAzNDUxMVoXDTE5MDgxMjAzNDUxMVowcjEPMA0GA1UEBgwG5Lit5Zu9MQ8wDQYDVQQIDAbnpo/lu7oxDzANBgNVBAcMBuemj+W3njEVMBMGA1UECgwM5Y2a5oCd6L2v5Lu2MRUwEwYDVQQLDAzljZrmgJ3ova/ku7YxDzANBgNVBAMMBuW8oOaciDCBnzANBgkqhkiG9w0BAQEFAAOBjQAwgYkCgYEAtOvx6Jt+0/nfUIrSxJU0Na2XjPK0TDENnAy5W612O2bBJxh0VVtZs+Tm64OTe737HPVu1fBkanj8j85j0eOGpg+weOnmYZt4cajDe+nZfa05Eio+PD71PfXrSPalxn82pFwZzaqNEiRqnO9Ics0lJiz0U1qj/S4ReFI4ln+a9DcCAwEAATANBgkqhkiG9w0BAQUFAAOBgQCGkA3gToLNjWSakh/wcHI0+Pn52OXRaIFAmg6ZuICscCjX4PGE4fWoHvtIXo8THtSHP5yqn/P6N3CDh54G1BuVdDmTpddcKSezqLHwtblHYTWbreJ6y+xUwyKV1GtdF+MWfbKvBwFmNy31lt7ylAxz7OKGOJXL9nYVK/YOGFFSLzGCAT4wggE6AgEBMHowcjEPMA0GA1UEBgwG5Lit5Zu9MQ8wDQYDVQQIDAbnpo/lu7oxDzANBgNVBAcMBuemj+W3njEVMBMGA1UECgwM5Y2a5oCd6L2v5Lu2MRUwEwYDVQQLDAzljZrmgJ3ova/ku7YxDzANBgNVBAMMBuW8oOaciAIEWZuoxzAJBgUrDgMCGgUAMA0GCSqGSIb3DQEBAQUABIGArLL+9630CF/MI9dWG+JFcnjT1w95V0e+9DO+/FZFFuf3W1GPRloOjocdIfoH8XpX+Z6fUOwjsVxlY4hdvyE5k2sFPZWUAJ+VYYzofgDFitMrkA8EPMAZAQL3AEzc6tpVXF8KPIVhk+T3jSx5JFeag6nICEG9D2w1m19COiAVGYShHDAaBgAxFgQULHKc/rGFL4TqU3A1GQEot+GNpnM=&lt;/ntrev:SIGNATURE_VALU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&lt;ntrev:KEY_INFO&gt;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&lt;ntrev:SERIAL_NUMBER contextRef="c1"&gt;599BA8C7&lt;/ntrev:SERIAL_NUMBER&gt;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hint="eastAsia" w:ascii="Times New Roman" w:hAnsi="Times New Roman" w:eastAsia="仿宋_GB2312" w:cs="Arial"/>
                <w:sz w:val="24"/>
                <w:szCs w:val="24"/>
                <w:lang w:val="en-US" w:eastAsia="zh-CN" w:bidi="ar-SA"/>
              </w:rPr>
              <w:t xml:space="preserve">        &lt;ntrev:X509ISSUER_NAME contextRef="c1"&gt;CN=张月, OU=博思软件, O=博思软件, L=福州, ST=福建, C=中国&lt;/ntrev:X509ISSUER_NAME&gt;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&lt;/ntrev:KEY_INFO&gt;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&lt;/ntrev:INVOICING_PARTY_SIGNATURE&gt;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&lt;ntrev:SUPERVISOR_PARTY_SIGNATURE&gt;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&lt;ntrev:SIGNED_INFO&gt;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&lt;ntrev:REFERENCE contextRef="c1"&gt;hash(/EINVOICE/HEADER|/EINVOICE/EINVOICE_DATA)|/EINVOICE/EINVOICE_SIGNATURE/SIGNATURE[@ID='InvoicingParty']&lt;/ntrev:REFERENCE&gt;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&lt;ntrev:SIGNATURE_ALGORITHM contextRef="c1"&gt;SHA256withRSAEncryption&lt;/ntrev:SIGNATURE_ALGORITHM&gt;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&lt;ntrev:SIGNATURE_FORMAT contextRef="c1"&gt;DETACH&lt;/ntrev:SIGNATURE_FORMAT&gt;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&lt;/ntrev:SIGNED_INFO&gt;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&lt;ntrev:SIGNATURE_TIME contextRef="c1"&gt;20210825102604+0800&lt;/ntrev:SIGNATURE_TIME&gt;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&lt;ntrev:SIGNATURE_VALUE contextRef="c1"&gt;MIAGCSqGSIb3DQEHAqCAMIACAQExFjAJBgUrDgMCGgUAMAkGBSsOAwIaBQAwgAYJKoZIhvcNAQcBAACggDCCAegwggFRoAMCAQICAw9CQjANBgkqhkiG9w0BAQUFADAQMQ4wDAYDVQQKDAVNT0Y7QzAeFw0xODEwMDgwNTE3NThaFw0yODEwMDUwNTE3NThaMBAxDjAMBgNVBAoMBU1PRjtDMIGfMA0GCSqGSIb3DQEBAQUAA4GNADCBiQKBgQCvxJUxyduYzcRv8CxrIjOxNn+FOFEISXrxxR07mDH014hg10lqCQad77SROSDmB3L5uaUV0I16H+8Jlj8MVnjjAtZDHAG80sQ5bIKqI5IzyUb8j66fcTZ+aika88NnMpiCX2iXivlplMW54TUXq5YE+dBueSJ0eY1CxmM59Df7SQIDAQABo1AwTjAdBgNVHQ4EFgQUuOKxed+/ABZLIeB7M2mcsNrx3oMwHwYDVR0jBBgwFoAU55bTpqfRdwL9k/IFA2gXfSy0scgwDAYDVR0TBAUwAwEB/zANBgkqhkiG9w0BAQUFAAOBgQBBwp8zH+V2AhhK7IrubV0/HTRNVDrRWqR8tAKdp8EvFWZ8OS8tJNubKfTrHwlm584dp+/hrGpaDovgSQWIFfX7dO04LNJnhddfsypqeTCaUP0/R1JnfOz62OWJgsMbqk9oaT29IHBDUNCNVVsT55G5Sja6qjOEP3x2kAv05jebFQAAMYICkDCCAUQCAQEwFzAQMQ4wDAYDVQQKDAVNT0Y7QwIDD0JCMAkGBSsOAwIaBQCggYgwGAYJKoZIhvcNAQkDMQsGCSqGSIb3DQEHATAcBgkqhkiG9w0BCQUxDxcNMjEwODI1MDIyNDQyWjAjBgkqhkiG9w0BCQQxFgQUmdh0IBgD87Ykno7Eg85koRs2ZI8wKQYJKoZIhvcNAQk0MRwwGjAJBgUrDgMCGgUAoQ0GCSqGSIb3DQEBAQUAMA0GCSqGSIb3DQEBAQUABIGAFDxeSB7+3gd0R5K7jv2c8Erz+182VjYahEvBs+InYk2rgN8uezE6Iu3tg7YhUuGeC/sGqeOcW4kdbLANcmuM8oQ/feuCIaNTIA2g19brLHd1ytOiOJ4zsZhGz+ho6Lk6TbbdTk+mC6Z5wF3RJCHX7HLse0QYKymRxwRnfoP4nGgwggFEAgEBMBcwEDEOMAwGA1UECgwFTU9GO0MCAw9CQjAJBgUrDgMCGgUAoIGIMBgGCSqGSIb3DQEJAzELBgkqhkiG9w0BBwEwHAYJKoZIhvcNAQkFMQ8XDTIxMDgyNTAyMjQ0M1owIwYJKoZIhvcNAQkEMRYEFJnYdCAYA/O2JJ6OxIPOZKEbNmSPMCkGCSqGSIb3DQEJNDEcMBowCQYFKw4DAhoFAKENBgkqhkiG9w0BAQEFADANBgkqhkiG9w0BAQEFAASBgGgiJXs8J0yDPSB1kZ2mfRrEA9k94noHkm5QYB6zqVyiFbRgQD8Yk7sIdD8flmoVHAcTrmGTaJgX5nSVz64N6LOvjmQe8vIFC0HlzgJIIcCPXYpk+aiKDyyGymCzQmCjxdwk+Bmu7wILuaA0FeBuP7FGeJIKWqRRf28jwr/hdpwoAAAAAAAA&lt;/ntrev:SIGNATURE_VALU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&lt;ntrev:KEY_INFO&gt;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&lt;ntrev:SERIAL_NUMBER contextRef="c1"&gt;1000002&lt;/ntrev:SERIAL_NUMBER&gt;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&lt;ntrev:X509ISSUER_NAME contextRef="c1"&gt;O="MOF;C"&lt;/ntrev:X509ISSUER_NAME&gt;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&lt;/ntrev:KEY_INFO&gt;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&lt;/ntrev:SUPERVISOR_PARTY_SIGNATURE&gt;</w:t>
            </w:r>
          </w:p>
          <w:p>
            <w:pPr>
              <w:wordWrap w:val="0"/>
              <w:spacing w:after="0"/>
              <w:ind w:firstLine="480" w:firstLineChars="200"/>
              <w:jc w:val="both"/>
              <w:rPr>
                <w:rFonts w:ascii="Times New Roman" w:hAnsi="Times New Roman" w:eastAsia="仿宋_GB2312" w:cs="Arial"/>
                <w:sz w:val="24"/>
                <w:szCs w:val="24"/>
                <w:lang w:val="en-US" w:eastAsia="zh-CN" w:bidi="ar-SA"/>
              </w:rPr>
            </w:pPr>
            <w:r>
              <w:rPr>
                <w:rFonts w:ascii="Times New Roman" w:hAnsi="Times New Roman" w:eastAsia="仿宋_GB2312" w:cs="Arial"/>
                <w:sz w:val="24"/>
                <w:szCs w:val="24"/>
                <w:lang w:val="en-US" w:eastAsia="zh-CN" w:bidi="ar-SA"/>
              </w:rPr>
              <w:t xml:space="preserve">  &lt;/ntrev:EINVOICE_SIGNATURE&gt;</w:t>
            </w:r>
          </w:p>
          <w:p>
            <w:pPr>
              <w:wordWrap w:val="0"/>
              <w:spacing w:after="0"/>
              <w:ind w:firstLine="480" w:firstLineChars="200"/>
              <w:jc w:val="both"/>
              <w:rPr>
                <w:sz w:val="24"/>
                <w:szCs w:val="24"/>
              </w:rPr>
            </w:pPr>
            <w:r>
              <w:rPr>
                <w:rFonts w:ascii="Times New Roman" w:hAnsi="Times New Roman" w:eastAsia="仿宋_GB2312" w:cs="Arial"/>
                <w:sz w:val="24"/>
                <w:szCs w:val="24"/>
                <w:lang w:val="en-US" w:eastAsia="zh-CN" w:bidi="ar-SA"/>
              </w:rPr>
              <w:t>&lt;/xbrli:xbrl&gt;</w:t>
            </w:r>
            <w:bookmarkEnd w:id="0"/>
          </w:p>
        </w:tc>
      </w:tr>
    </w:tbl>
    <w:p>
      <w:pPr>
        <w:pStyle w:val="10"/>
        <w:numPr>
          <w:ilvl w:val="0"/>
          <w:numId w:val="3"/>
        </w:numPr>
        <w:wordWrap/>
        <w:spacing w:line="560" w:lineRule="exact"/>
        <w:ind w:firstLine="560" w:firstLineChars="0"/>
        <w:outlineLvl w:val="1"/>
      </w:pPr>
      <w:r>
        <w:rPr>
          <w:rFonts w:hint="eastAsia"/>
        </w:rPr>
        <w:t>《非税收入一般缴款书</w:t>
      </w:r>
      <w:r>
        <w:rPr>
          <w:rFonts w:hint="eastAsia"/>
          <w:lang w:eastAsia="zh-CN"/>
        </w:rPr>
        <w:t>标准</w:t>
      </w:r>
      <w:r>
        <w:rPr>
          <w:rFonts w:hint="eastAsia"/>
        </w:rPr>
        <w:t>》开具方内容架构</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lang w:eastAsia="zh-CN"/>
        </w:rPr>
        <w:t>本标准</w:t>
      </w:r>
      <w:r>
        <w:rPr>
          <w:rFonts w:hint="eastAsia" w:ascii="Times New Roman" w:hAnsi="Times New Roman" w:eastAsia="仿宋_GB2312"/>
          <w:sz w:val="28"/>
          <w:szCs w:val="28"/>
        </w:rPr>
        <w:t>将电子非税收入一般缴款书的票面信息以及通过电子非税收入一般缴款书进行开具、报销、入账、归档过程中需要的信息进行了XBRL标记，并将信息根据业务流程划分为开具方（执收单位和财政监管部门）和接收方（缴款人所在的企事业单位）两类。表1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标记的开具方相关字段。</w:t>
      </w:r>
    </w:p>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：《非税收入一般缴款书</w:t>
      </w:r>
      <w:r>
        <w:rPr>
          <w:rFonts w:hint="eastAsia"/>
          <w:b/>
          <w:bCs/>
          <w:sz w:val="24"/>
          <w:szCs w:val="24"/>
          <w:lang w:eastAsia="zh-CN"/>
        </w:rPr>
        <w:t>标准</w:t>
      </w:r>
      <w:r>
        <w:rPr>
          <w:rFonts w:hint="eastAsia"/>
          <w:b/>
          <w:bCs/>
          <w:sz w:val="24"/>
          <w:szCs w:val="24"/>
        </w:rPr>
        <w:t>》（开具方）标记内容</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电子缴款书头部</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电子缴款书标签</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格式为“电子缴款书标识</w:t>
            </w:r>
            <w:r>
              <w:rPr>
                <w:rFonts w:ascii="仿宋_GB2312" w:hAnsi="等线" w:eastAsia="仿宋_GB2312" w:cs="宋体"/>
                <w:color w:val="000000"/>
              </w:rPr>
              <w:t>–</w:t>
            </w:r>
            <w:r>
              <w:rPr>
                <w:rFonts w:hint="eastAsia" w:ascii="仿宋_GB2312" w:hAnsi="等线" w:eastAsia="仿宋_GB2312" w:cs="宋体"/>
                <w:color w:val="000000"/>
              </w:rPr>
              <w:t>监管机构行政区划代码”。其中，电子缴款书标识为“CZ-EI”；区划代码为2位数字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电子缴款书的唯一标识，生成规则为“电子缴款书代码-号码”的反转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版本</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电子缴款书规范版本，固定值2.0.0.1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票面基本信息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电子非税收入一般缴款书票号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政府非税收入缴款识别码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校验码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电子非税收入一般缴款书模板代码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电子非税收入一般缴款书监管机构代码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开票时间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时间型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收缴方式代码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值集：直接缴库、集中汇缴、就地缴库、集中缴库、税务部门征收入库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业务流水号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备注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经办人</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复核人</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财政部门备注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收款账户类型代码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值集：财政专户、汇缴专户、科目 、单位监管账户 、国库单一账户、其他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收款人全称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收款人账号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收款人开户银行</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6</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缴款人类型</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值集：个人、单位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单位一般为统一社会信用代码；个人一般为身份证号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缴款人全称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缴款人账号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缴款人开户银行</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基本信息扩展</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关联票据代码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预留扩展字段，开具红票时在此填写原票据代码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2</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关联票据号码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预留扩展字段，开具红票时在此填写原票据号码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3</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执收单位印章</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印章Hash</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财政部门印章</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印章Hash</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9</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票面明细信息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政府非税收入执收项目代码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0</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政府非税收入执收项目识别码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1</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政府非税收入执收项目名称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执收数量</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小数型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3</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收缴标准计量单位</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收缴标准名称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收缴标准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小数型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收缴项目金额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项目备注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8</w:t>
            </w:r>
          </w:p>
        </w:tc>
        <w:tc>
          <w:tcPr>
            <w:tcW w:w="1276" w:type="dxa"/>
            <w:vMerge w:val="restart"/>
            <w:vAlign w:val="center"/>
          </w:tcPr>
          <w:p>
            <w:pPr>
              <w:spacing w:after="0" w:line="240" w:lineRule="auto"/>
              <w:jc w:val="center"/>
              <w:rPr>
                <w:rFonts w:eastAsia="仿宋_GB2312" w:cs="宋体"/>
                <w:color w:val="000000"/>
              </w:rPr>
            </w:pPr>
            <w:r>
              <w:rPr>
                <w:rFonts w:hint="eastAsia" w:ascii="仿宋_GB2312" w:hAnsi="等线" w:eastAsia="仿宋_GB2312" w:cs="宋体"/>
                <w:color w:val="000000"/>
              </w:rPr>
              <w:t>执收单位数字签名信息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签名原文引用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签名算法</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国际通用算法使用SHA256withRSAEncryption，国密算法使用SM3withSM2Encryption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签名格式类型</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签名时间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签名值</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证书编号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X.509证书颁发者名称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5</w:t>
            </w:r>
          </w:p>
        </w:tc>
        <w:tc>
          <w:tcPr>
            <w:tcW w:w="1276" w:type="dxa"/>
            <w:vMerge w:val="restart"/>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财政部门监制数字签名信息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签名原文引用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签名算法</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签名格式类型</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签名时间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签名值</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r>
              <w:rPr>
                <w:rFonts w:ascii="仿宋_GB2312" w:hAnsi="等线" w:eastAsia="仿宋_GB2312" w:cs="宋体"/>
                <w:color w:val="000000"/>
              </w:rPr>
              <w:t>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证书编号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r>
              <w:rPr>
                <w:rFonts w:ascii="仿宋_GB2312" w:hAnsi="等线" w:eastAsia="仿宋_GB2312" w:cs="宋体"/>
                <w:color w:val="000000"/>
              </w:rPr>
              <w:t>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X.509证书颁发者名称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bl>
    <w:p>
      <w:pPr>
        <w:pStyle w:val="10"/>
        <w:numPr>
          <w:ilvl w:val="0"/>
          <w:numId w:val="3"/>
        </w:numPr>
        <w:wordWrap/>
        <w:spacing w:line="560" w:lineRule="exact"/>
        <w:ind w:firstLine="560" w:firstLineChars="0"/>
        <w:outlineLvl w:val="1"/>
      </w:pPr>
      <w:r>
        <w:rPr>
          <w:rFonts w:hint="eastAsia"/>
        </w:rPr>
        <w:t>X</w:t>
      </w:r>
      <w:r>
        <w:t>BRL</w:t>
      </w:r>
      <w:r>
        <w:rPr>
          <w:rFonts w:hint="eastAsia"/>
        </w:rPr>
        <w:t>实例文档要素说明</w:t>
      </w:r>
    </w:p>
    <w:p>
      <w:pPr>
        <w:pStyle w:val="11"/>
        <w:spacing w:after="0" w:line="560" w:lineRule="exact"/>
      </w:pPr>
      <w:r>
        <w:rPr>
          <w:rFonts w:hint="eastAsia"/>
        </w:rPr>
        <w:t>实例文档作为非税收入一般缴款书结构化数据的载体，不仅包含了数据本身及其与《非税收入一般缴款书</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11"/>
        <w:wordWrap/>
        <w:spacing w:after="0" w:line="560" w:lineRule="exact"/>
      </w:pPr>
      <w:r>
        <w:rPr>
          <w:rFonts w:hint="eastAsia"/>
        </w:rPr>
        <w:t>实例文档共包含五类内容，分别是根元素（xbrli:xbrl）、</w:t>
      </w:r>
      <w:r>
        <w:rPr>
          <w:rFonts w:hint="eastAsia"/>
          <w:lang w:eastAsia="zh-CN"/>
        </w:rPr>
        <w:t>标准</w:t>
      </w:r>
      <w:r>
        <w:rPr>
          <w:rFonts w:hint="eastAsia"/>
        </w:rPr>
        <w:t>引用（link:schemaRef）、事实值（fact）、上下文（context）和单位（unit），使用者可结合三个要素的具体信息来进一步理解实例文档。</w:t>
      </w:r>
    </w:p>
    <w:p>
      <w:pPr>
        <w:pStyle w:val="11"/>
        <w:numPr>
          <w:ilvl w:val="0"/>
          <w:numId w:val="4"/>
        </w:numPr>
        <w:wordWrap/>
        <w:spacing w:after="0" w:line="560" w:lineRule="exact"/>
        <w:ind w:firstLineChars="0"/>
        <w:rPr>
          <w:b/>
          <w:bCs/>
        </w:rPr>
      </w:pPr>
      <w:r>
        <w:rPr>
          <w:rFonts w:hint="eastAsia"/>
          <w:b/>
          <w:bCs/>
        </w:rPr>
        <w:t>根元素</w:t>
      </w:r>
    </w:p>
    <w:p>
      <w:pPr>
        <w:pStyle w:val="11"/>
        <w:wordWrap/>
        <w:spacing w:after="0" w:line="560" w:lineRule="exact"/>
      </w:pPr>
      <w:r>
        <w:rPr>
          <w:rFonts w:hint="eastAsia"/>
        </w:rPr>
        <w:t>实例文档根元素的标签名是&lt;xbrli:xbrl&gt;，根元素标签的属性是实例文档所引用的所有命名空间信息，其中也包括《非税收入一般缴款书</w:t>
      </w:r>
      <w:r>
        <w:rPr>
          <w:rFonts w:hint="eastAsia"/>
          <w:lang w:eastAsia="zh-CN"/>
        </w:rPr>
        <w:t>标准</w:t>
      </w:r>
      <w:r>
        <w:rPr>
          <w:rFonts w:hint="eastAsia"/>
        </w:rPr>
        <w:t>》前缀ntrev，具体如下表</w:t>
      </w:r>
      <w:r>
        <w:t>2</w:t>
      </w:r>
      <w:r>
        <w:rPr>
          <w:rFonts w:hint="eastAsia"/>
        </w:rPr>
        <w:t>所示：</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w:t>
      </w:r>
      <w:r>
        <w:rPr>
          <w:rFonts w:hint="eastAsia"/>
          <w:b/>
          <w:sz w:val="24"/>
          <w:szCs w:val="24"/>
        </w:rPr>
        <w:t>《非税收入一般缴款书</w:t>
      </w:r>
      <w:r>
        <w:rPr>
          <w:rFonts w:hint="eastAsia"/>
          <w:b/>
          <w:sz w:val="24"/>
          <w:szCs w:val="24"/>
          <w:lang w:eastAsia="zh-CN"/>
        </w:rPr>
        <w:t>标准</w:t>
      </w:r>
      <w:r>
        <w:rPr>
          <w:rFonts w:hint="eastAsia"/>
          <w:b/>
          <w:sz w:val="24"/>
          <w:szCs w:val="24"/>
        </w:rPr>
        <w:t>》标记内容</w:t>
      </w:r>
    </w:p>
    <w:tbl>
      <w:tblPr>
        <w:tblStyle w:val="5"/>
        <w:tblW w:w="915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5145"/>
        <w:gridCol w:w="285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158"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145"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85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ntrev</w:t>
            </w:r>
          </w:p>
        </w:tc>
        <w:tc>
          <w:tcPr>
            <w:tcW w:w="5145"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http://xbrl.mof.gov.cn/taxonomy/2023-05-15/ntrev</w:t>
            </w:r>
          </w:p>
        </w:tc>
        <w:tc>
          <w:tcPr>
            <w:tcW w:w="2856"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非税收入一般缴款书</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14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856"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14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856"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1"/>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pStyle w:val="11"/>
        <w:wordWrap/>
        <w:spacing w:after="0" w:line="560" w:lineRule="exact"/>
        <w:ind w:firstLine="562" w:firstLineChars="0"/>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标签定义实例文档对《非税收入一般缴款书</w:t>
      </w:r>
      <w:r>
        <w:rPr>
          <w:rFonts w:hint="eastAsia"/>
          <w:lang w:eastAsia="zh-CN"/>
        </w:rPr>
        <w:t>标准</w:t>
      </w:r>
      <w:r>
        <w:rPr>
          <w:rFonts w:hint="eastAsia"/>
        </w:rPr>
        <w:t>》文件的引用，通过“</w:t>
      </w:r>
      <w:r>
        <w:t>xlink:href</w:t>
      </w:r>
      <w:r>
        <w:rPr>
          <w:rFonts w:hint="eastAsia"/>
        </w:rPr>
        <w:t>”指向引用《非税收入一般缴款书</w:t>
      </w:r>
      <w:r>
        <w:rPr>
          <w:rFonts w:hint="eastAsia"/>
          <w:lang w:eastAsia="zh-CN"/>
        </w:rPr>
        <w:t>标准</w:t>
      </w:r>
      <w:r>
        <w:rPr>
          <w:rFonts w:hint="eastAsia"/>
        </w:rPr>
        <w:t>》的相对地址（以开具方为例）：</w:t>
      </w:r>
    </w:p>
    <w:p>
      <w:pPr>
        <w:pStyle w:val="11"/>
        <w:wordWrap/>
        <w:spacing w:after="0" w:line="560" w:lineRule="exact"/>
      </w:pPr>
      <w:r>
        <w:t>&lt;link:schemaRef xlink:type="simple" xlink:href="ntrev_issuer_entry_point_2023-05-15.xsd"/&gt;</w:t>
      </w:r>
    </w:p>
    <w:p>
      <w:pPr>
        <w:pStyle w:val="11"/>
        <w:numPr>
          <w:ilvl w:val="0"/>
          <w:numId w:val="4"/>
        </w:numPr>
        <w:wordWrap/>
        <w:spacing w:after="0" w:line="560" w:lineRule="exact"/>
        <w:ind w:firstLineChars="0"/>
        <w:rPr>
          <w:rFonts w:hint="eastAsia" w:cs="Arial"/>
          <w:b/>
          <w:bCs/>
          <w:lang w:eastAsia="zh-CN"/>
        </w:rPr>
      </w:pPr>
      <w:r>
        <w:rPr>
          <w:rFonts w:hint="eastAsia" w:cs="Arial"/>
          <w:b/>
          <w:bCs/>
          <w:lang w:eastAsia="zh-CN"/>
        </w:rPr>
        <w:t>事实值</w:t>
      </w:r>
    </w:p>
    <w:p>
      <w:pPr>
        <w:pStyle w:val="11"/>
        <w:wordWrap/>
        <w:spacing w:after="0" w:line="560" w:lineRule="exact"/>
      </w:pPr>
      <w:r>
        <w:rPr>
          <w:rFonts w:hint="eastAsia"/>
        </w:rPr>
        <w:t>事实值就是非税收入一般缴款书版面信息填写的内容，例如对于“电子非税收入一般缴款书代码”这个项目，其事实值就是非税收入一般缴款书抬头信息中的票据代码信息。通过为元素赋值，并指定上下文、单位和精度属性，来完成对于事实值的完整定义。赋予实例文档的事实值可为数值（金额、十进制数字等）或非数值数据（字符串或者转义文本，例如XHTML格式内容）。事实值也可为日期类型和时间类型。表</w:t>
      </w:r>
      <w:r>
        <w:t>3</w:t>
      </w:r>
      <w:r>
        <w:rPr>
          <w:rFonts w:hint="eastAsia"/>
        </w:rPr>
        <w:t>列示了部分事实值。</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3</w:t>
      </w:r>
      <w:r>
        <w:rPr>
          <w:bCs/>
          <w:sz w:val="24"/>
          <w:szCs w:val="24"/>
        </w:rPr>
        <w:fldChar w:fldCharType="end"/>
      </w:r>
      <w:r>
        <w:rPr>
          <w:rFonts w:hint="eastAsia"/>
          <w:b/>
          <w:bCs/>
          <w:sz w:val="24"/>
          <w:szCs w:val="24"/>
        </w:rPr>
        <w:t>：</w:t>
      </w:r>
      <w:r>
        <w:rPr>
          <w:rFonts w:hint="eastAsia"/>
          <w:b/>
          <w:sz w:val="24"/>
          <w:szCs w:val="24"/>
        </w:rPr>
        <w:t>事实值举例</w:t>
      </w:r>
    </w:p>
    <w:tbl>
      <w:tblPr>
        <w:tblStyle w:val="5"/>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电子发票（航空运输电子客票行程单）信息项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价税合计（小写）</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开票时间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时间型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08:34:23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会计期间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价税合计（大写）</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贰佰元整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执收数量</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小数型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23.90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是否红字票据</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w:t>
            </w:r>
            <w:r>
              <w:rPr>
                <w:rFonts w:hint="eastAsia" w:ascii="Times New Roman" w:hAnsi="Times New Roman" w:eastAsia="仿宋_GB2312"/>
                <w:color w:val="000000"/>
                <w:sz w:val="24"/>
                <w:szCs w:val="24"/>
              </w:rPr>
              <w:t>alse</w:t>
            </w:r>
          </w:p>
        </w:tc>
      </w:tr>
    </w:tbl>
    <w:p>
      <w:pPr>
        <w:pStyle w:val="16"/>
        <w:wordWrap/>
        <w:spacing w:line="560" w:lineRule="exact"/>
        <w:ind w:firstLine="562"/>
        <w:outlineLvl w:val="9"/>
      </w:pPr>
      <w:r>
        <w:rPr>
          <w:rFonts w:cs="Times New Roman"/>
        </w:rPr>
        <w:t>1</w:t>
      </w:r>
      <w:r>
        <w:rPr>
          <w:rFonts w:hint="eastAsia" w:cs="Times New Roman"/>
        </w:rPr>
        <w:t>．</w:t>
      </w:r>
      <w:r>
        <w:rPr>
          <w:rFonts w:hint="eastAsia"/>
        </w:rPr>
        <w:t>数值型事实值</w:t>
      </w:r>
    </w:p>
    <w:p>
      <w:pPr>
        <w:pStyle w:val="11"/>
        <w:wordWrap/>
        <w:spacing w:after="0" w:line="560" w:lineRule="exact"/>
      </w:pPr>
      <w:r>
        <w:rPr>
          <w:rFonts w:hint="eastAsia"/>
        </w:rPr>
        <w:t>数值型事实值的定义，除了通过contextRef指向一个预定义的上下文（context），还会通过unitRef指向一个预定的单位（unit），并通过事实值的decimals（小数点后位数）属性表达数据的精确度，图</w:t>
      </w:r>
      <w:r>
        <w:t>1</w:t>
      </w:r>
      <w:r>
        <w:rPr>
          <w:rFonts w:hint="eastAsia"/>
        </w:rPr>
        <w:t>是“缴款金额”对应的事实值定义信息：</w:t>
      </w:r>
    </w:p>
    <w:tbl>
      <w:tblPr>
        <w:tblStyle w:val="6"/>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472" w:type="dxa"/>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&lt;ntrev:PAID_AMT decimals="2" contextRef=“c1” unitRef="CNY"&gt;200.00&lt;/ntrev:PAID_AMT&gt;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16"/>
        <w:wordWrap/>
        <w:spacing w:line="560" w:lineRule="exact"/>
        <w:ind w:firstLine="562"/>
        <w:outlineLvl w:val="9"/>
      </w:pPr>
      <w:r>
        <w:rPr>
          <w:rFonts w:cs="Times New Roman"/>
        </w:rPr>
        <w:t>2</w:t>
      </w:r>
      <w:r>
        <w:rPr>
          <w:rFonts w:hint="eastAsia" w:cs="Times New Roman"/>
        </w:rPr>
        <w:t>．</w:t>
      </w:r>
      <w:r>
        <w:rPr>
          <w:rFonts w:hint="eastAsia"/>
        </w:rPr>
        <w:t>非数值型事实值</w:t>
      </w:r>
    </w:p>
    <w:p>
      <w:pPr>
        <w:pStyle w:val="11"/>
        <w:wordWrap/>
        <w:spacing w:after="0" w:line="560" w:lineRule="exact"/>
        <w:ind w:firstLine="562" w:firstLineChars="0"/>
      </w:pPr>
      <w:r>
        <w:rPr>
          <w:rFonts w:hint="eastAsia"/>
        </w:rPr>
        <w:t>非数值型事实值的定义，是将事实值赋予给对应的元素名，并通过contextRef指向一个预定义的上下文（context），图</w:t>
      </w:r>
      <w:r>
        <w:t>2</w:t>
      </w:r>
      <w:r>
        <w:rPr>
          <w:rFonts w:hint="eastAsia"/>
        </w:rPr>
        <w:t>为“是否红字票据”对应的事实值定义信息：</w:t>
      </w:r>
    </w:p>
    <w:tbl>
      <w:tblPr>
        <w:tblStyle w:val="6"/>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30" w:type="dxa"/>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w:t>
            </w:r>
            <w:r>
              <w:rPr>
                <w:rFonts w:hint="eastAsia"/>
                <w:sz w:val="24"/>
                <w:szCs w:val="24"/>
              </w:rPr>
              <w:t>ntrev</w:t>
            </w:r>
            <w:r>
              <w:rPr>
                <w:sz w:val="24"/>
                <w:szCs w:val="24"/>
              </w:rPr>
              <w:t>:WhetherInvoiceIsRedInvoice contextRef="As_Of_20XX_XX_XX"&gt;false&lt;/</w:t>
            </w:r>
            <w:r>
              <w:rPr>
                <w:rFonts w:hint="eastAsia"/>
                <w:sz w:val="24"/>
                <w:szCs w:val="24"/>
              </w:rPr>
              <w:t>ntrev</w:t>
            </w:r>
            <w:r>
              <w:rPr>
                <w:sz w:val="24"/>
                <w:szCs w:val="24"/>
              </w:rPr>
              <w:t>:WhetherInvoiceIsRedInvoice&gt;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1"/>
        <w:numPr>
          <w:ilvl w:val="0"/>
          <w:numId w:val="4"/>
        </w:numPr>
        <w:wordWrap/>
        <w:spacing w:after="0" w:line="560" w:lineRule="exact"/>
        <w:ind w:firstLineChars="0"/>
        <w:rPr>
          <w:b/>
          <w:bCs/>
        </w:rPr>
      </w:pPr>
      <w:r>
        <w:rPr>
          <w:rFonts w:hint="eastAsia"/>
          <w:b/>
          <w:bCs/>
        </w:rPr>
        <w:t>上下文</w:t>
      </w:r>
    </w:p>
    <w:p>
      <w:pPr>
        <w:pStyle w:val="11"/>
        <w:spacing w:after="0" w:line="560" w:lineRule="exact"/>
      </w:pPr>
      <w:r>
        <w:rPr>
          <w:rFonts w:hint="eastAsia"/>
        </w:rPr>
        <w:t>每个事实值都会通过contextRef属性赋予的上下文ID指向预定义的上下文（context）。通过指定上下文，才能够确定事实值的具体含义。</w:t>
      </w:r>
    </w:p>
    <w:p>
      <w:pPr>
        <w:pStyle w:val="11"/>
        <w:wordWrap/>
        <w:spacing w:after="0" w:line="560" w:lineRule="exact"/>
      </w:pPr>
      <w:r>
        <w:rPr>
          <w:rFonts w:hint="eastAsia"/>
        </w:rPr>
        <w:t>上下文要素包括：实体信息（entity）、时期信息（period）和场景信息（scenario）。在根标签下，使用使用&lt;xbrli:context&gt;标签定义元素数据的上下文信息，下设子标签&lt;xbrli:entity&gt;、&lt;xbrli:period&gt;、&lt;xbrli:scenario&gt;，用于标记上文所述的实体信息、时期信息和场景信息。</w:t>
      </w:r>
    </w:p>
    <w:p>
      <w:pPr>
        <w:pStyle w:val="16"/>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cs="Times New Roman"/>
        </w:rPr>
        <w:t>1</w:t>
      </w:r>
      <w:r>
        <w:rPr>
          <w:rFonts w:hint="eastAsia" w:cs="Times New Roman"/>
        </w:rPr>
        <w:t>．</w:t>
      </w:r>
      <w:r>
        <w:rPr>
          <w:rFonts w:hint="eastAsia"/>
        </w:rPr>
        <w:t>实体信息</w:t>
      </w:r>
    </w:p>
    <w:p>
      <w:pPr>
        <w:pStyle w:val="11"/>
        <w:wordWrap/>
        <w:spacing w:after="0" w:line="560" w:lineRule="exact"/>
      </w:pPr>
      <w:r>
        <w:rPr>
          <w:rFonts w:hint="eastAsia"/>
        </w:rPr>
        <w:t>实体信息即指实例文档数据的发布者信息，使用标签&lt;xbrli:entity&gt;标记。在非税收入一般缴款书中，开具方实例文档使用执收单位编码作为实体的唯一标识码，接收方实例文档使用会计主体统一社会信用代码作为实体的唯一标识码，在&lt;xbrli:identifier&gt;标签的文本中标记。</w:t>
      </w:r>
    </w:p>
    <w:p>
      <w:pPr>
        <w:pStyle w:val="16"/>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hint="eastAsia" w:cs="Times New Roman"/>
          <w:lang w:val="en-US" w:eastAsia="zh-CN"/>
        </w:rPr>
        <w:t>2</w:t>
      </w:r>
      <w:r>
        <w:rPr>
          <w:rFonts w:hint="eastAsia" w:cs="Times New Roman"/>
        </w:rPr>
        <w:t>．</w:t>
      </w:r>
      <w:r>
        <w:rPr>
          <w:rFonts w:hint="eastAsia"/>
        </w:rPr>
        <w:t>时期信息</w:t>
      </w:r>
    </w:p>
    <w:p>
      <w:pPr>
        <w:pStyle w:val="11"/>
        <w:wordWrap/>
        <w:spacing w:after="0" w:line="560" w:lineRule="exact"/>
      </w:pPr>
      <w:r>
        <w:rPr>
          <w:rFonts w:hint="eastAsia"/>
          <w:color w:val="000000"/>
          <w:szCs w:val="24"/>
          <w:lang w:val="en-GB"/>
        </w:rPr>
        <w:t>时期信息是指事实值所对应的日期或期间，使用标签&lt;xbrli:period&gt;标记。在非税收入一般缴款书中，期间类型均为时点型，使用&lt;xbrli:instant&gt;标签表示，统一采用yyyy-mm-dd的日期格式</w:t>
      </w:r>
      <w:r>
        <w:rPr>
          <w:rFonts w:hint="eastAsia"/>
        </w:rPr>
        <w:t>。</w:t>
      </w:r>
    </w:p>
    <w:p>
      <w:pPr>
        <w:pStyle w:val="11"/>
        <w:numPr>
          <w:ilvl w:val="0"/>
          <w:numId w:val="4"/>
        </w:numPr>
        <w:wordWrap/>
        <w:spacing w:after="0" w:line="560" w:lineRule="exact"/>
        <w:ind w:firstLineChars="0"/>
        <w:rPr>
          <w:b/>
          <w:bCs/>
        </w:rPr>
      </w:pPr>
      <w:r>
        <w:rPr>
          <w:rFonts w:hint="eastAsia"/>
          <w:b/>
          <w:bCs/>
        </w:rPr>
        <w:t>单位和精确度</w:t>
      </w:r>
    </w:p>
    <w:p>
      <w:pPr>
        <w:pStyle w:val="11"/>
        <w:wordWrap/>
        <w:spacing w:after="0" w:line="560" w:lineRule="exact"/>
      </w:pPr>
      <w:r>
        <w:rPr>
          <w:rFonts w:hint="eastAsia"/>
          <w:lang w:val="en-GB"/>
        </w:rPr>
        <w:t>单位是用来说明数值型数据（非字符串及转义文本）的度量单位，最常见的度量单位就是货币型的单位，例如人民币、美元等。数值型数据的事实值应通过单位指向（unitRef）属性将定义的单位ID（unit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5"/>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1"/>
        <w:wordWrap/>
        <w:spacing w:after="0" w:line="560" w:lineRule="exact"/>
      </w:pPr>
      <w:r>
        <w:rPr>
          <w:rFonts w:hint="eastAsia"/>
        </w:rPr>
        <w:t>在根标签中，使用&lt;xbrli:unit&gt;标签预定义计量单位，单位的定义方式如图3所示：</w:t>
      </w:r>
    </w:p>
    <w:tbl>
      <w:tblPr>
        <w:tblStyle w:val="6"/>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pStyle w:val="11"/>
              <w:spacing w:after="0" w:line="560" w:lineRule="exact"/>
              <w:ind w:firstLine="0" w:firstLineChars="0"/>
              <w:rPr>
                <w:sz w:val="24"/>
                <w:szCs w:val="24"/>
              </w:rPr>
            </w:pPr>
            <w:r>
              <w:rPr>
                <w:sz w:val="24"/>
                <w:szCs w:val="24"/>
              </w:rPr>
              <w:t>&lt;xbrli:unit id="u1"&gt;</w:t>
            </w:r>
          </w:p>
          <w:p>
            <w:pPr>
              <w:pStyle w:val="11"/>
              <w:spacing w:after="0" w:line="560" w:lineRule="exact"/>
              <w:ind w:firstLine="480"/>
              <w:rPr>
                <w:sz w:val="24"/>
                <w:szCs w:val="24"/>
              </w:rPr>
            </w:pPr>
            <w:r>
              <w:rPr>
                <w:sz w:val="24"/>
                <w:szCs w:val="24"/>
              </w:rPr>
              <w:t>&lt;xbrli:measure&gt;iso4217:CNY&lt;/xbrli:measure&gt;</w:t>
            </w:r>
          </w:p>
          <w:p>
            <w:pPr>
              <w:pStyle w:val="11"/>
              <w:spacing w:after="0" w:line="560" w:lineRule="exact"/>
              <w:ind w:firstLine="0" w:firstLineChars="0"/>
              <w:rPr>
                <w:sz w:val="24"/>
                <w:szCs w:val="24"/>
              </w:rPr>
            </w:pPr>
            <w:r>
              <w:rPr>
                <w:sz w:val="24"/>
                <w:szCs w:val="24"/>
              </w:rPr>
              <w:t>&lt;/xbrli:unit&gt;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11"/>
        <w:wordWrap/>
        <w:spacing w:after="0" w:line="560" w:lineRule="exact"/>
        <w:rPr>
          <w:szCs w:val="28"/>
        </w:rPr>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5</w:t>
      </w:r>
      <w:r>
        <w:rPr>
          <w:rFonts w:hint="eastAsia"/>
          <w:szCs w:val="28"/>
        </w:rPr>
        <w:t>列示了</w:t>
      </w:r>
      <w:r>
        <w:rPr>
          <w:szCs w:val="28"/>
        </w:rPr>
        <w:t>数值型数据使用decimals属性的例子</w:t>
      </w:r>
      <w:r>
        <w:rPr>
          <w:rFonts w:hint="eastAsia"/>
          <w:szCs w:val="28"/>
        </w:rPr>
        <w:t>。</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spacing w:after="0" w:line="560" w:lineRule="exact"/>
        <w:rPr>
          <w:highlight w:val="yellow"/>
        </w:rPr>
      </w:pP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电子非税收入一般缴款书接收方</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获取并解析电子凭证非税收入一般缴款书，同步标记状态位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可通过非税收入收缴管理系统自带的通知方式（电子邮件）接收来自执收单位的电子凭证非税收入一般缴款书；或者通过短信、电子邮件等多种方式接收来自执收单位的电子凭证非税收入一般缴款书PDF文件。接收方获取电子凭证非税收入一般缴款书后使用XBRL工具包解析和提取内嵌的XBRL格式的结构化数据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，主流财务软件厂商应均已具备解析和生成实例文档的能力。财务软件厂商可根据《非税收入一般缴款书</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XBRL工具包解析电子其结构化数据并同步标记状态位（包括电子缴款书状态信息、会计主体信息和基础会计信息），自动生成标准化的电子缴款书业务（对象）数据，直接写入底层数据库或选择生成XBRL格式的实例文档。</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16"/>
        <w:ind w:left="440" w:firstLine="0" w:firstLineChars="0"/>
      </w:pPr>
      <w:r>
        <w:rPr>
          <w:rFonts w:hint="eastAsia"/>
        </w:rPr>
        <w:t>1、《非税收入一般缴款书</w:t>
      </w:r>
      <w:r>
        <w:rPr>
          <w:rFonts w:hint="eastAsia"/>
          <w:lang w:eastAsia="zh-CN"/>
        </w:rPr>
        <w:t>标准</w:t>
      </w:r>
      <w:r>
        <w:rPr>
          <w:rFonts w:hint="eastAsia"/>
        </w:rPr>
        <w:t>》接收方内容架构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6</w:t>
      </w:r>
      <w:r>
        <w:rPr>
          <w:rFonts w:hint="eastAsia" w:ascii="Times New Roman" w:hAnsi="Times New Roman" w:eastAsia="仿宋_GB2312"/>
          <w:sz w:val="28"/>
          <w:szCs w:val="28"/>
        </w:rPr>
        <w:t>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标记的接收方字段。</w:t>
      </w:r>
    </w:p>
    <w:p>
      <w:pPr>
        <w:pStyle w:val="11"/>
        <w:wordWrap/>
        <w:spacing w:after="0" w:line="560" w:lineRule="exact"/>
        <w:ind w:left="800"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6</w:t>
      </w:r>
      <w:r>
        <w:rPr>
          <w:bCs/>
          <w:sz w:val="24"/>
          <w:szCs w:val="24"/>
        </w:rPr>
        <w:fldChar w:fldCharType="end"/>
      </w:r>
      <w:r>
        <w:rPr>
          <w:rFonts w:hint="eastAsia"/>
          <w:b/>
          <w:bCs/>
          <w:sz w:val="24"/>
          <w:szCs w:val="24"/>
        </w:rPr>
        <w:t>：《非税收入一般缴款书</w:t>
      </w:r>
      <w:r>
        <w:rPr>
          <w:rFonts w:hint="eastAsia"/>
          <w:b/>
          <w:bCs/>
          <w:sz w:val="24"/>
          <w:szCs w:val="24"/>
          <w:lang w:eastAsia="zh-CN"/>
        </w:rPr>
        <w:t>标准</w:t>
      </w:r>
      <w:r>
        <w:rPr>
          <w:rFonts w:hint="eastAsia"/>
          <w:b/>
          <w:bCs/>
          <w:sz w:val="24"/>
          <w:szCs w:val="24"/>
        </w:rPr>
        <w:t>》（接收方）标记内容</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票据状态</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必填项，记录电子缴款书的唯一标识，即</w:t>
            </w:r>
            <w:r>
              <w:rPr>
                <w:rFonts w:hint="eastAsia" w:ascii="仿宋_GB2312" w:hAnsi="等线" w:eastAsia="仿宋_GB2312" w:cs="宋体"/>
                <w:color w:val="000000"/>
              </w:rPr>
              <w:t>“</w:t>
            </w:r>
            <w:r>
              <w:rPr>
                <w:rFonts w:ascii="仿宋_GB2312" w:hAnsi="等线" w:eastAsia="仿宋_GB2312" w:cs="宋体"/>
                <w:color w:val="000000"/>
              </w:rPr>
              <w:t>电子缴款书代码-号码</w:t>
            </w:r>
            <w:r>
              <w:rPr>
                <w:rFonts w:hint="eastAsia" w:ascii="仿宋_GB2312" w:hAnsi="等线" w:eastAsia="仿宋_GB2312" w:cs="宋体"/>
                <w:color w:val="000000"/>
              </w:rPr>
              <w:t>”</w:t>
            </w:r>
            <w:r>
              <w:rPr>
                <w:rFonts w:ascii="仿宋_GB2312" w:hAnsi="等线" w:eastAsia="仿宋_GB2312" w:cs="宋体"/>
                <w:color w:val="000000"/>
              </w:rPr>
              <w:t>的反转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必填项，记录电子缴款书信息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必填项，记录电子缴款书信息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是否红字票据</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r>
              <w:rPr>
                <w:rFonts w:ascii="仿宋_GB2312" w:hAnsi="等线" w:eastAsia="仿宋_GB2312" w:cs="宋体"/>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必填项，记账凭证的唯一标识，用于验证票据事项入账的唯一性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0</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必填项，格式为年-月-日，如2022-08-18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选填项，企业可根据每条会计分录的借贷方向选择回写，填写</w:t>
            </w:r>
            <w:r>
              <w:rPr>
                <w:rFonts w:hint="eastAsia" w:ascii="仿宋_GB2312" w:hAnsi="等线" w:eastAsia="仿宋_GB2312" w:cs="宋体"/>
                <w:color w:val="000000"/>
              </w:rPr>
              <w:t>“借方”</w:t>
            </w:r>
            <w:r>
              <w:rPr>
                <w:rFonts w:ascii="仿宋_GB2312" w:hAnsi="等线" w:eastAsia="仿宋_GB2312" w:cs="宋体"/>
                <w:color w:val="000000"/>
              </w:rPr>
              <w:t>或</w:t>
            </w:r>
            <w:r>
              <w:rPr>
                <w:rFonts w:hint="eastAsia" w:ascii="仿宋_GB2312" w:hAnsi="等线" w:eastAsia="仿宋_GB2312" w:cs="宋体"/>
                <w:color w:val="000000"/>
              </w:rPr>
              <w:t>“贷方”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选填项，企业记录根据科目的本位币入账金额选择回写</w:t>
            </w:r>
          </w:p>
        </w:tc>
      </w:tr>
    </w:tbl>
    <w:p>
      <w:pPr>
        <w:pStyle w:val="16"/>
        <w:ind w:left="440" w:firstLine="0" w:firstLineChars="0"/>
      </w:pPr>
      <w:r>
        <w:rPr>
          <w:rFonts w:hint="eastAsia"/>
        </w:rPr>
        <w:t>2、非税收入一般缴款书回写示例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非税收入一般缴款书进行报销时，财务共享系统能够通过非税收入一般缴款书业务（对象）数据与企业会计凭证的映射关系自动生成凭证。在一般缴款书的流转过程中，系统也会将票据状态信息和相关会计信息即时回写到底层数据库或相应实例文档中，将对下列信息进行回写。</w:t>
      </w:r>
    </w:p>
    <w:p>
      <w:pPr>
        <w:pStyle w:val="11"/>
        <w:numPr>
          <w:ilvl w:val="0"/>
          <w:numId w:val="6"/>
        </w:numPr>
        <w:wordWrap/>
        <w:spacing w:after="0" w:line="560" w:lineRule="exact"/>
        <w:ind w:firstLineChars="0"/>
        <w:rPr>
          <w:b/>
          <w:bCs/>
          <w:szCs w:val="28"/>
        </w:rPr>
      </w:pPr>
      <w:r>
        <w:rPr>
          <w:rFonts w:hint="eastAsia"/>
          <w:b/>
          <w:bCs/>
        </w:rPr>
        <w:t>票据</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票据状态信息如下：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（1）电子缴款书标识：</w:t>
      </w:r>
      <w:r>
        <w:rPr>
          <w:rFonts w:ascii="Times New Roman" w:hAnsi="Times New Roman" w:eastAsia="仿宋_GB2312"/>
          <w:sz w:val="28"/>
          <w:szCs w:val="28"/>
        </w:rPr>
        <w:t>2800070000-12103000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（2）开票日期：20XX-XX-XX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（3）缴款金额：</w:t>
      </w:r>
      <w:r>
        <w:rPr>
          <w:rFonts w:ascii="Times New Roman" w:hAnsi="Times New Roman" w:eastAsia="仿宋_GB2312"/>
          <w:sz w:val="28"/>
          <w:szCs w:val="28"/>
        </w:rPr>
        <w:t>8500.00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（4）是否红字票据：否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（6）是否已入账：否</w:t>
      </w:r>
    </w:p>
    <w:p>
      <w:pPr>
        <w:pStyle w:val="11"/>
        <w:numPr>
          <w:ilvl w:val="0"/>
          <w:numId w:val="6"/>
        </w:numPr>
        <w:wordWrap/>
        <w:spacing w:after="0" w:line="560" w:lineRule="exact"/>
        <w:ind w:firstLineChars="0"/>
        <w:rPr>
          <w:b/>
          <w:bCs/>
          <w:szCs w:val="28"/>
        </w:rPr>
      </w:pPr>
      <w:r>
        <w:rPr>
          <w:rFonts w:hint="eastAsia"/>
          <w:b/>
          <w:bCs/>
        </w:rPr>
        <w:t>会计主体</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（1）会计主体统一社会信用代码：911100007000XXXXXX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（2）会计主体名称：XXX有限公司</w:t>
      </w:r>
    </w:p>
    <w:p>
      <w:pPr>
        <w:pStyle w:val="11"/>
        <w:numPr>
          <w:ilvl w:val="0"/>
          <w:numId w:val="6"/>
        </w:numPr>
        <w:wordWrap/>
        <w:spacing w:after="0" w:line="560" w:lineRule="exact"/>
        <w:ind w:firstLineChars="0"/>
        <w:rPr>
          <w:b/>
          <w:bCs/>
          <w:szCs w:val="28"/>
        </w:rPr>
      </w:pPr>
      <w:r>
        <w:rPr>
          <w:rFonts w:hint="eastAsia"/>
          <w:b/>
          <w:bCs/>
        </w:rPr>
        <w:t>基础会计</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对应的基础会计信息如下：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w:t>
      </w:r>
      <w:r>
        <w:rPr>
          <w:rFonts w:ascii="Times New Roman" w:hAnsi="Times New Roman" w:eastAsia="仿宋_GB2312"/>
          <w:sz w:val="28"/>
          <w:szCs w:val="28"/>
        </w:rPr>
        <w:t>XXXXXXXXXX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（6）总账科目名称：营业外支出</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（7）明细科目名称：罚没款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（8）入账金额：</w:t>
      </w:r>
      <w:r>
        <w:rPr>
          <w:rFonts w:ascii="Times New Roman" w:hAnsi="Times New Roman" w:eastAsia="仿宋_GB2312"/>
          <w:sz w:val="28"/>
          <w:szCs w:val="28"/>
        </w:rPr>
        <w:t>8500.00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（9）借贷方向：贷方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（10）总账科目名称：其他应付款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（11）明细科目名称：赔款罚款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（12）入账金额：</w:t>
      </w:r>
      <w:r>
        <w:rPr>
          <w:rFonts w:ascii="Times New Roman" w:hAnsi="Times New Roman" w:eastAsia="仿宋_GB2312"/>
          <w:sz w:val="28"/>
          <w:szCs w:val="28"/>
        </w:rPr>
        <w:t>8500.00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考虑到账务处理中经常出现多借多贷的会计分录，在《非税收入一般缴款书</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6"/>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97"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借：营业外支出-罚没款</w:t>
            </w:r>
            <w:r>
              <w:rPr>
                <w:rFonts w:hint="eastAsia" w:ascii="仿宋_GB2312" w:hAnsi="Times New Roman" w:eastAsia="仿宋_GB2312"/>
                <w:sz w:val="24"/>
                <w:szCs w:val="24"/>
              </w:rPr>
              <w:tab/>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贷：其他应付款-赔款罚款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6"/>
        <w:tblW w:w="9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9518"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&lt;ntrev:InformationOfDebitAndCreditEntryTuple&gt;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&lt;ntrev:DebitOrCredit contextRef="c1"&gt;借方&lt;/ntrev:DebitOrCredit&gt;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&lt;ntrev:NameOfGeneralLedgerSubject contextRef="c1"&gt;营业外支出&lt;/ntrev:NameOfGeneralLedgerSubject&gt;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&lt;ntrev:NameOfSubsidiaryLedgerSubject contextRef="c1"&gt;罚没款&lt;/ntrev:NameOfSubsidiaryLedgerSubject&gt;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&lt;ntrev:RecordedAmount decimals="2" contextRef="c1" unitRef="u1"&gt;8500.00&lt;/ntrev:RecordedAmount&gt;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&lt;ntrev:DebitOrCredit contextRef="c1"&gt;贷方&lt;/ntrev:DebitOrCredit&gt;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&lt;ntrev:NameOfGeneralLedgerSubject contextRef="c1"&gt;其他应付款&lt;/ntrev:NameOfGeneralLedgerSubject&gt;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&lt;ntrev:NameOfSubsidiaryLedgerSubject contextRef="c1"&gt;赔偿罚款&lt;/ntrev:NameOfSubsidiaryLedgerSubject&gt;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&lt;ntrev:RecordedAmount decimals="2" contextRef="c1" unitRef="u1"&gt;8500.00&lt;/ntrev:RecordedAmount&gt;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&lt;/ntrev:InformationOfDebitAndCreditEntryTuple&gt;</w:t>
            </w:r>
          </w:p>
        </w:tc>
      </w:tr>
    </w:tbl>
    <w:p>
      <w:pPr>
        <w:spacing w:after="0" w:line="360" w:lineRule="auto"/>
        <w:rPr>
          <w:rFonts w:ascii="Times New Roman" w:hAnsi="Times New Roman"/>
          <w:highlight w:val="yellow"/>
        </w:rPr>
      </w:pP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电子凭证非税收入一般缴款书入账归档要求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企业、单位以电子凭证非税收入一般缴款书报销、入账、归档的，应当按照《财政部国家档案局关于规范电子会计凭证报销入账归档的通知》（财会〔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号）的相关规定执行。实例文档的传输、存储安全可靠，对任何篡改能够及时发现，作为电子凭证，符合《会计档案管理办法》（财政部 国家档案局令第79号）的相关要求。</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生成电子非税收入一般缴款书实例文档数据进行归档备查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会计期间结束后，企业、单位需按照财政部的监管要求，结合XBRL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XBRL工具包生成包含完整电子非税收入一般缴款书信息（包括电子非税收入一般缴款书票面信息、票据状态信息、会计主体信息、基础会计信息）的XBRL格式实例文档，并按照会计档案管理的相关要求进行归档，以备财政部相关监管部门查验。</w:t>
      </w:r>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8CC246A"/>
    <w:multiLevelType w:val="singleLevel"/>
    <w:tmpl w:val="38CC246A"/>
    <w:lvl w:ilvl="0" w:tentative="0">
      <w:start w:val="1"/>
      <w:numFmt w:val="chineseCounting"/>
      <w:suff w:val="nothing"/>
      <w:lvlText w:val="（%1）"/>
      <w:lvlJc w:val="left"/>
      <w:rPr>
        <w:rFonts w:hint="eastAsia"/>
      </w:r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1230D"/>
    <w:rsid w:val="00036674"/>
    <w:rsid w:val="000553D1"/>
    <w:rsid w:val="000A6D8C"/>
    <w:rsid w:val="000B145F"/>
    <w:rsid w:val="000C0243"/>
    <w:rsid w:val="000D099A"/>
    <w:rsid w:val="000F342C"/>
    <w:rsid w:val="0011376E"/>
    <w:rsid w:val="001341E8"/>
    <w:rsid w:val="001C2C2F"/>
    <w:rsid w:val="0023507A"/>
    <w:rsid w:val="002818C0"/>
    <w:rsid w:val="002D63F7"/>
    <w:rsid w:val="002E23EF"/>
    <w:rsid w:val="002F26FB"/>
    <w:rsid w:val="002F3098"/>
    <w:rsid w:val="002F3B69"/>
    <w:rsid w:val="00306A81"/>
    <w:rsid w:val="0031070B"/>
    <w:rsid w:val="003240FA"/>
    <w:rsid w:val="0033794F"/>
    <w:rsid w:val="00341AF8"/>
    <w:rsid w:val="003550BB"/>
    <w:rsid w:val="003620D4"/>
    <w:rsid w:val="003A2102"/>
    <w:rsid w:val="003A4582"/>
    <w:rsid w:val="003C4A59"/>
    <w:rsid w:val="003D4EE4"/>
    <w:rsid w:val="00424235"/>
    <w:rsid w:val="00425D0C"/>
    <w:rsid w:val="00441F17"/>
    <w:rsid w:val="004912D5"/>
    <w:rsid w:val="004919BA"/>
    <w:rsid w:val="004D32E6"/>
    <w:rsid w:val="004D7480"/>
    <w:rsid w:val="004E44E9"/>
    <w:rsid w:val="0050710A"/>
    <w:rsid w:val="00516B2A"/>
    <w:rsid w:val="00542019"/>
    <w:rsid w:val="0054792B"/>
    <w:rsid w:val="005507E6"/>
    <w:rsid w:val="00552609"/>
    <w:rsid w:val="005700EE"/>
    <w:rsid w:val="005A5BEF"/>
    <w:rsid w:val="005E09DC"/>
    <w:rsid w:val="00636140"/>
    <w:rsid w:val="006472EE"/>
    <w:rsid w:val="00692CE3"/>
    <w:rsid w:val="006B2F42"/>
    <w:rsid w:val="006B51AE"/>
    <w:rsid w:val="006C0E57"/>
    <w:rsid w:val="006D08BE"/>
    <w:rsid w:val="006D1C32"/>
    <w:rsid w:val="006D756C"/>
    <w:rsid w:val="006E3086"/>
    <w:rsid w:val="006E43DC"/>
    <w:rsid w:val="00716E4B"/>
    <w:rsid w:val="0072515A"/>
    <w:rsid w:val="00726F2D"/>
    <w:rsid w:val="007C3572"/>
    <w:rsid w:val="007E21C4"/>
    <w:rsid w:val="008111AE"/>
    <w:rsid w:val="00817A87"/>
    <w:rsid w:val="008313B6"/>
    <w:rsid w:val="00862601"/>
    <w:rsid w:val="0086766D"/>
    <w:rsid w:val="008825EA"/>
    <w:rsid w:val="008A0756"/>
    <w:rsid w:val="008E3A6B"/>
    <w:rsid w:val="008F45F4"/>
    <w:rsid w:val="008F4C2A"/>
    <w:rsid w:val="008F5406"/>
    <w:rsid w:val="009052F6"/>
    <w:rsid w:val="00927FE0"/>
    <w:rsid w:val="00970A5D"/>
    <w:rsid w:val="00976C93"/>
    <w:rsid w:val="00980DD8"/>
    <w:rsid w:val="00981D24"/>
    <w:rsid w:val="009915D8"/>
    <w:rsid w:val="00996C99"/>
    <w:rsid w:val="009A4506"/>
    <w:rsid w:val="009D5596"/>
    <w:rsid w:val="00A05F47"/>
    <w:rsid w:val="00A17BF8"/>
    <w:rsid w:val="00A25066"/>
    <w:rsid w:val="00A42C9E"/>
    <w:rsid w:val="00A53924"/>
    <w:rsid w:val="00A938E8"/>
    <w:rsid w:val="00AB3C10"/>
    <w:rsid w:val="00AC203E"/>
    <w:rsid w:val="00AF0AF6"/>
    <w:rsid w:val="00B379E5"/>
    <w:rsid w:val="00B5294F"/>
    <w:rsid w:val="00B52C7F"/>
    <w:rsid w:val="00BB7E4C"/>
    <w:rsid w:val="00BC1304"/>
    <w:rsid w:val="00BC1867"/>
    <w:rsid w:val="00BE47A8"/>
    <w:rsid w:val="00C44FF0"/>
    <w:rsid w:val="00C55091"/>
    <w:rsid w:val="00C57019"/>
    <w:rsid w:val="00C848A3"/>
    <w:rsid w:val="00CA4199"/>
    <w:rsid w:val="00CA79B3"/>
    <w:rsid w:val="00CB21FE"/>
    <w:rsid w:val="00CF47D3"/>
    <w:rsid w:val="00D04EB1"/>
    <w:rsid w:val="00D25058"/>
    <w:rsid w:val="00D311D4"/>
    <w:rsid w:val="00D40C4C"/>
    <w:rsid w:val="00D437C1"/>
    <w:rsid w:val="00D52886"/>
    <w:rsid w:val="00DB438C"/>
    <w:rsid w:val="00E02972"/>
    <w:rsid w:val="00E24A03"/>
    <w:rsid w:val="00E41627"/>
    <w:rsid w:val="00E634F5"/>
    <w:rsid w:val="00E713FC"/>
    <w:rsid w:val="00E85381"/>
    <w:rsid w:val="00EA0B23"/>
    <w:rsid w:val="00EA1123"/>
    <w:rsid w:val="00EF5BE6"/>
    <w:rsid w:val="00F2559A"/>
    <w:rsid w:val="00F43653"/>
    <w:rsid w:val="00F550F8"/>
    <w:rsid w:val="00F74427"/>
    <w:rsid w:val="00F91D4E"/>
    <w:rsid w:val="00F929EF"/>
    <w:rsid w:val="00FA2291"/>
    <w:rsid w:val="00FA2FBC"/>
    <w:rsid w:val="00FA6208"/>
    <w:rsid w:val="00FB18F7"/>
    <w:rsid w:val="00FB255C"/>
    <w:rsid w:val="00FD5D23"/>
    <w:rsid w:val="17FB7E47"/>
    <w:rsid w:val="3374FDBC"/>
    <w:rsid w:val="33CFFA33"/>
    <w:rsid w:val="3CDF8E6D"/>
    <w:rsid w:val="47F6FC4E"/>
    <w:rsid w:val="4FBF719D"/>
    <w:rsid w:val="77FF1386"/>
    <w:rsid w:val="7DCF891C"/>
    <w:rsid w:val="7FFB7BE8"/>
    <w:rsid w:val="BDFE9D87"/>
    <w:rsid w:val="BEDEF758"/>
    <w:rsid w:val="C7ABBBA8"/>
    <w:rsid w:val="D7CF997B"/>
    <w:rsid w:val="E79EE22F"/>
    <w:rsid w:val="F7754950"/>
    <w:rsid w:val="FFFF1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style>
  <w:style w:type="paragraph" w:styleId="3">
    <w:name w:val="footer"/>
    <w:basedOn w:val="1"/>
    <w:link w:val="15"/>
    <w:qFormat/>
    <w:uiPriority w:val="0"/>
    <w:pPr>
      <w:tabs>
        <w:tab w:val="center" w:pos="4153"/>
        <w:tab w:val="right" w:pos="8306"/>
      </w:tabs>
      <w:snapToGrid w:val="0"/>
      <w:spacing w:line="240" w:lineRule="auto"/>
    </w:pPr>
    <w:rPr>
      <w:sz w:val="18"/>
      <w:szCs w:val="18"/>
    </w:rPr>
  </w:style>
  <w:style w:type="paragraph" w:styleId="4">
    <w:name w:val="header"/>
    <w:basedOn w:val="1"/>
    <w:link w:val="14"/>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一级标题"/>
    <w:basedOn w:val="9"/>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9">
    <w:name w:val="List Paragraph"/>
    <w:basedOn w:val="1"/>
    <w:qFormat/>
    <w:uiPriority w:val="34"/>
    <w:pPr>
      <w:ind w:firstLine="420" w:firstLineChars="200"/>
    </w:pPr>
  </w:style>
  <w:style w:type="paragraph" w:customStyle="1" w:styleId="10">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1">
    <w:name w:val="正文文档"/>
    <w:basedOn w:val="12"/>
    <w:qFormat/>
    <w:uiPriority w:val="0"/>
    <w:pPr>
      <w:wordWrap w:val="0"/>
      <w:spacing w:afterLines="0"/>
      <w:ind w:firstLine="560"/>
    </w:pPr>
  </w:style>
  <w:style w:type="paragraph" w:customStyle="1" w:styleId="12">
    <w:name w:val="ab"/>
    <w:basedOn w:val="13"/>
    <w:qFormat/>
    <w:uiPriority w:val="0"/>
    <w:pPr>
      <w:spacing w:line="360" w:lineRule="auto"/>
      <w:outlineLvl w:val="9"/>
    </w:pPr>
    <w:rPr>
      <w:rFonts w:ascii="Times New Roman" w:hAnsi="Times New Roman"/>
      <w:sz w:val="28"/>
    </w:rPr>
  </w:style>
  <w:style w:type="paragraph" w:customStyle="1" w:styleId="13">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4">
    <w:name w:val="页眉 字符"/>
    <w:basedOn w:val="7"/>
    <w:link w:val="4"/>
    <w:qFormat/>
    <w:uiPriority w:val="0"/>
    <w:rPr>
      <w:rFonts w:asciiTheme="minorHAnsi" w:hAnsiTheme="minorHAnsi" w:eastAsiaTheme="minorEastAsia" w:cstheme="minorBidi"/>
      <w:sz w:val="18"/>
      <w:szCs w:val="18"/>
    </w:rPr>
  </w:style>
  <w:style w:type="character" w:customStyle="1" w:styleId="15">
    <w:name w:val="页脚 字符"/>
    <w:basedOn w:val="7"/>
    <w:link w:val="3"/>
    <w:qFormat/>
    <w:uiPriority w:val="0"/>
    <w:rPr>
      <w:rFonts w:asciiTheme="minorHAnsi" w:hAnsiTheme="minorHAnsi" w:eastAsiaTheme="minorEastAsia" w:cstheme="minorBidi"/>
      <w:sz w:val="18"/>
      <w:szCs w:val="18"/>
    </w:rPr>
  </w:style>
  <w:style w:type="paragraph" w:customStyle="1" w:styleId="16">
    <w:name w:val="三级标题"/>
    <w:basedOn w:val="12"/>
    <w:qFormat/>
    <w:uiPriority w:val="0"/>
    <w:pPr>
      <w:wordWrap w:val="0"/>
      <w:spacing w:after="0" w:afterLines="0"/>
      <w:ind w:firstLine="200"/>
      <w:outlineLvl w:val="3"/>
    </w:pPr>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2884</Words>
  <Characters>16445</Characters>
  <Lines>137</Lines>
  <Paragraphs>38</Paragraphs>
  <TotalTime>1</TotalTime>
  <ScaleCrop>false</ScaleCrop>
  <LinksUpToDate>false</LinksUpToDate>
  <CharactersWithSpaces>19291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2023-05-11T11:22:00Z</dcterms:created>
  <dc:creator>Admin</dc:creator>
  <cp:lastModifiedBy>Admin</cp:lastModifiedBy>
  <dcterms:modified xsi:type="dcterms:W3CDTF">2023-05-12T19:56:16Z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