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附件</w:t>
      </w:r>
      <w:bookmarkStart w:id="3" w:name="_GoBack"/>
      <w:bookmarkEnd w:id="3"/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b/>
          <w:bCs/>
          <w:color w:val="000000"/>
          <w:sz w:val="44"/>
          <w:szCs w:val="44"/>
          <w:highlight w:val="none"/>
          <w:shd w:val="clear" w:color="auto" w:fill="auto"/>
        </w:rPr>
      </w:pPr>
      <w:r>
        <w:rPr>
          <w:rFonts w:hint="eastAsia"/>
          <w:b/>
          <w:bCs/>
          <w:color w:val="000000"/>
          <w:sz w:val="44"/>
          <w:szCs w:val="44"/>
          <w:highlight w:val="none"/>
          <w:shd w:val="clear" w:color="auto" w:fill="auto"/>
          <w:lang w:val="en-US" w:eastAsia="zh-CN"/>
        </w:rPr>
        <w:t>陕西</w:t>
      </w:r>
      <w:r>
        <w:rPr>
          <w:b/>
          <w:bCs/>
          <w:color w:val="000000"/>
          <w:sz w:val="44"/>
          <w:szCs w:val="44"/>
          <w:highlight w:val="none"/>
          <w:shd w:val="clear" w:color="auto" w:fill="auto"/>
        </w:rPr>
        <w:t>省会计师事务所综合评价办法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Fonts w:hint="eastAsia"/>
          <w:b/>
          <w:bCs/>
          <w:color w:val="000000"/>
          <w:sz w:val="44"/>
          <w:szCs w:val="44"/>
          <w:highlight w:val="none"/>
          <w:shd w:val="clear" w:color="auto" w:fill="auto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highlight w:val="none"/>
          <w:shd w:val="clear" w:color="auto" w:fill="auto"/>
        </w:rPr>
      </w:pP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zh-CN" w:eastAsia="zh-CN"/>
        </w:rPr>
        <w:t>第一章 总 则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第一条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为综合反映与评价我省会计师事务所(以下简称事务所)发展水平，引导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头部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事务所做强做优，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中小事务所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做精做专，不断提升服务社会经济高</w:t>
      </w:r>
      <w:r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质量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发展的能力，根据中国注册会计师协会(以下简称中注协)《会计师事务所综合评价排名办法》《关于地方注协开展会计师事务所综合评价工作的指导意见》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《中华人民共和国注册会计师法》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和《陕西省注册会计师协会章程》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结合我省实际，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制定本办法。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第二条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陕西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省注册会计师协会(以下简称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注协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负责组织全省事务所综合评价工作，</w:t>
      </w:r>
      <w:r>
        <w:rPr>
          <w:rStyle w:val="6"/>
          <w:rFonts w:hint="eastAsia" w:ascii="仿宋_GB2312" w:hAnsi="仿宋" w:eastAsia="仿宋_GB2312" w:cs="宋体"/>
          <w:color w:val="000000"/>
          <w:kern w:val="2"/>
          <w:sz w:val="32"/>
          <w:szCs w:val="32"/>
          <w:highlight w:val="none"/>
          <w:shd w:val="clear" w:color="auto" w:fill="auto"/>
          <w:lang w:val="zh-CN" w:eastAsia="zh-CN"/>
        </w:rPr>
        <w:t>并发布事务所综合评价排名信息。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第三条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事务所综合评价</w:t>
      </w:r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排名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原则上每年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度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开展一次，一般在每年9月底前公布排名信息，具体时间由省注协根据情况确定。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default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第四条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省注协按照当年参评事务所数量综合考虑决定公布排名数量。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事务所自行决定是否参加省注协组织的综合评价</w:t>
      </w:r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排名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。决定参加排名的，应向省注协提供评价所需的数据及信息，并对数据及信息的真实性负责。排名结果及相关结论、信息基于事务所提供的数据和信息来源，并不代表省注协的观点和看法。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zh-CN" w:eastAsia="zh-CN"/>
        </w:rPr>
        <w:t>第二章 参评条件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3" w:firstLineChars="200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 xml:space="preserve"> 在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陕西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省行政区域内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合法设立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的事务所（分所），均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纳入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综合评价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范围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，具有下列情形之一者除外：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（一）未持续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达到规定的设立条件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（二）未充分履行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章程规定的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会员义务；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）填列综合评价信息严重失实；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）省注协认定不能参加综合评价的其他情形。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6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 xml:space="preserve"> 省外事务所在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陕西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省设立的分所，参加综合评价时视同独立所管理。本省事务所在省内、省外设立分所的相关数据由总所合并上报。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 w:firstLine="646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 xml:space="preserve"> 涉及合并、分立事项的事务所，在上年度12月31日前办结以下所有手续的，应当以合并、分立后的事务所参加综合评价和排名：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 w:firstLine="646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（一）形成合并、分立相关会议决议及合伙人（股东）协议，签订合并、分立协议；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 w:firstLine="646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No26_Z2T6K1X2"/>
      <w:bookmarkEnd w:id="0"/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（二）完成市场监督管理部门变更登记手续；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 w:firstLine="646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bookmarkStart w:id="1" w:name="No27_Z2T6K1X3"/>
      <w:bookmarkEnd w:id="1"/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（三）完成事务所财政变更备案；需要变更名称的，应取得新的事务所执业证书；</w:t>
      </w:r>
    </w:p>
    <w:p>
      <w:pPr>
        <w:pStyle w:val="4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680" w:lineRule="exact"/>
        <w:ind w:left="0" w:right="0" w:firstLine="646"/>
        <w:textAlignment w:val="auto"/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bookmarkStart w:id="2" w:name="No28_Z2T6K1X4"/>
      <w:bookmarkEnd w:id="2"/>
      <w:r>
        <w:rPr>
          <w:rFonts w:hint="eastAsia" w:ascii="仿宋_GB2312" w:hAnsi="仿宋" w:eastAsia="仿宋_GB2312" w:cs="宋体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（四）领取变更后的中注协单位会员电子证书。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zh-CN" w:eastAsia="zh-CN"/>
        </w:rPr>
        <w:t>第三章 评价指标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 xml:space="preserve"> 事务所综合评价从收入、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内部治理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、人力资源、处理处罚等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个方面反映事务所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的综合情况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，共1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个指标，包括：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（一）收入。指事务所经过审计，抵销内部协作收入后的上年度合并报表业务收入。涉及合并、分立事项的，相关团队收入以会计核算的实际发票开票收入为准，在相关事务所之间进行划分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二）最近3年内部晋升合伙人（股东）比率。指最近3个年度内，事务所晋升的合伙人（股东）数量占3年前执业超过5年且年龄在60周岁以内的注册会计师数量的比率。内部晋升合伙人（股东），是指在事务所执业超过3年后晋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升的合伙人（股东）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）合伙人（股东）党员比率。合伙人（股东）党员比率指事务所党员合伙人（股东）数量占事务所全部合伙人（股东）数量的比率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）品牌延续时间。指事务所现用名称的使用年限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）信息化支出水平。指事务所财务报表中的“信息化支出”占事务所年度业务收入的比率。信息化支出指审计软件开发费、管理信息系统开发费、软硬件采购费、软硬件运维费、网络服务费等支出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）注册会计师人数。指评价年度内，通过年检的注册会计师人数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）执业超过5年且年龄在60周岁以内的注册会计师人数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）人才培养支出水平。指事务所财务报表中的“人才培养支出”占事务所年度业务收入的比率。人才培养支出指事务所境内外培训支出的合计数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）领军（高端）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人才数量。指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事务所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注册会计师行业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领军（高端）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人才数量；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default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）行业贡献指标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指事务所人员包括担任中注协或省注协常务理事、专委会委员，担任各级“两代表一委员”，执业质量检查人员、检查专家，参与行业课题研究、行业内授课等情况；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）处理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处罚。指最近 3 个年度内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事务所及其注册会计师、员工因执业行为受到刑事处罚、行政处罚和行业惩戒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；会计师事务所提供虚假注册材料、任职资格检查材料或作出不实承诺、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填报信息不实、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对相关事务所财务报表信息严重失实负有审计责任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情况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事务所因低价竞争被省注协约谈、发警示函、通报批评等情况。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   事务所综合评价排名依据1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个指标计算评分，总分共计1000分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各项指标分值、权重和计算方式将制定实施细则，并根据政策变化、操作实际等进行定期调整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十一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   为保证事务所综合评价工作的公平、公正，事务所信息的时期指标为上年度或 3 年内数据，时点指标以上年度12月31日为基准日。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十二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   事务所综合评价排名信息发布中，如发现事务所填报信息不实，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注协将在综合评价排名信息中的处理处罚指标项中扣减相应分值，并责令相关事务所限期公告更正，对没有按期公告更正的相关事务所，将给予公开批评；对所填报信息严重失实的事务所，将给予公开批评，撤回所发布的事务所相关信息，并撤销参加下一年度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综合评价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排名的资格。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对相关事务所财务报表信息严重失实负有审计责任的事务所，按照《中国注册会计师协会会员执业违规行为惩戒办法》作出惩戒；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同时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在综合评价排名信息中处理处罚指标项下扣减相应分值。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 xml:space="preserve">第四章 </w:t>
      </w: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zh-CN" w:eastAsia="zh-CN"/>
        </w:rPr>
        <w:t>评价流程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十三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  综合评价工作流程包括事务所填报、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注协审核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并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开展评价、综合评价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排名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公示、发布综合评价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排名结果等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环节。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十四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  综合评价排名中的事务所相关信息来源于事务所自行填报数据。事务所应当对所填报信息的真实性负责。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3" w:firstLineChars="20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十五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 xml:space="preserve">  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注协根据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事务所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上报信息，依据会计师事务所综合评价指标计算方法及得分标准进行计算，形成会计师事务所综合评价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排名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信息。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3" w:firstLineChars="20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十六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 xml:space="preserve">  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省注协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对外发布《年度会计师事务所综合评价排名信息（公示稿）》，为期5个工作日。公示期内，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省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注协负责受理公示相关信息的投诉举报，并做出相应处理。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3" w:firstLineChars="200"/>
        <w:jc w:val="both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十七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  公示期满后，结合公示期内各方反馈意见，形成《年度会计师事务所综合评价排名信息》，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val="zh-CN" w:eastAsia="zh-CN"/>
          <w14:textFill>
            <w14:solidFill>
              <w14:schemeClr w14:val="tx1"/>
            </w14:solidFill>
          </w14:textFill>
        </w:rPr>
        <w:t>在履行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val="zh-CN" w:eastAsia="zh-CN"/>
          <w14:textFill>
            <w14:solidFill>
              <w14:schemeClr w14:val="tx1"/>
            </w14:solidFill>
          </w14:textFill>
        </w:rPr>
        <w:t>批程序后，对外正式发布。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3" w:firstLineChars="200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十八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条 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 xml:space="preserve"> 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注册会计师协会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工作人员在开展综合评价排名工作中，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应保持公平公正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zh-CN" w:eastAsia="zh-CN"/>
        </w:rPr>
        <w:t>，存在违反本办法规定的行为，以及其他滥用职权、玩忽职守、徇私舞弊等违法违纪行为的，依照国家有关规定追究相应责任；涉嫌犯罪的，依法移送司法机关处理。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zh-CN" w:eastAsia="zh-CN"/>
        </w:rPr>
        <w:t>第五章 信息披露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第十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九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 xml:space="preserve"> 省注协根据事务所综合评价信息数据，按照本办法规定，计算并确认事务所的评价得分，将</w:t>
      </w:r>
      <w:r>
        <w:rPr>
          <w:rStyle w:val="6"/>
          <w:rFonts w:hint="eastAsia" w:ascii="仿宋_GB2312" w:hAnsi="仿宋" w:eastAsia="仿宋_GB2312" w:cs="宋体"/>
          <w:color w:val="000000"/>
          <w:kern w:val="2"/>
          <w:sz w:val="32"/>
          <w:szCs w:val="32"/>
          <w:highlight w:val="none"/>
          <w:shd w:val="clear" w:color="auto" w:fill="auto"/>
          <w:lang w:val="zh-CN" w:eastAsia="zh-CN"/>
        </w:rPr>
        <w:t>自愿参加排名的事务所，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按得分由高到低排序，发布事务所综合评价排名信息，并同时披露以下信息：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（一）事务所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年度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业务收入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总额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（二）注册会计师人数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（三）执业超过</w:t>
      </w:r>
      <w:r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5年且年龄在60周岁以内的注册会计师数量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为事务所提供年度报表审计服务的机构；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（五）事务所及注册会计师最近三年内受到的刑事处罚、行政处罚和行业惩戒的情况；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（六）专业贡献度（在促进某领域业务标准建设、推动某领域发展等方面做出的突出贡献，比如：承担财政部、中注协、省注协相关课题和专业标准的研究起草工作，担任财政部、中注协或省级注协专门（业）委员会的主任委员、副主任委员、委员等）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（七）事务所获得市级以上党团组织表彰情况；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（八）事务所市级以上“两代表一委员”情况。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上述信息以上年度 12 月 31 日为基准。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rStyle w:val="7"/>
          <w:rFonts w:hint="default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zh-CN" w:eastAsia="zh-CN"/>
        </w:rPr>
        <w:t>第</w:t>
      </w: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zh-CN" w:eastAsia="zh-CN"/>
        </w:rPr>
        <w:t xml:space="preserve">章 </w:t>
      </w:r>
      <w:r>
        <w:rPr>
          <w:rStyle w:val="7"/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附  则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firstLine="645"/>
        <w:jc w:val="both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第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二十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 xml:space="preserve"> 本办法由省注协秘书处负责解释。</w:t>
      </w:r>
    </w:p>
    <w:p>
      <w:pPr>
        <w:pStyle w:val="8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afterLines="0" w:line="68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第二十一条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本办法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</w:rPr>
        <w:t>自第三届理事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  <w:lang w:bidi="ar"/>
        </w:rPr>
        <w:t>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十六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auto"/>
          <w:lang w:bidi="ar"/>
        </w:rPr>
        <w:t>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</w:rPr>
        <w:t>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</w:rPr>
        <w:t>审议通过之日起施行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5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  <w:shd w:val="clear" w:color="auto" w:fill="auto"/>
        </w:rPr>
      </w:pPr>
    </w:p>
    <w:p>
      <w:pPr>
        <w:shd w:val="clear"/>
        <w:rPr>
          <w:highlight w:val="none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YTdjZDg0NjU5NWJmYzEzNDJlNWY1NWI4OGM2OTYifQ=="/>
  </w:docVars>
  <w:rsids>
    <w:rsidRoot w:val="1C310D0A"/>
    <w:rsid w:val="1C31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0" w:beforeLines="0" w:after="0" w:afterLines="0"/>
    </w:pPr>
    <w:rPr>
      <w:rFonts w:hint="eastAsia" w:ascii="仿宋" w:hAnsi="仿宋" w:eastAsia="仿宋" w:cs="Times New Roman"/>
      <w:color w:val="000000"/>
      <w:sz w:val="24"/>
    </w:rPr>
  </w:style>
  <w:style w:type="paragraph" w:styleId="3">
    <w:name w:val="Body Text Indent 2"/>
    <w:qFormat/>
    <w:uiPriority w:val="99"/>
    <w:pPr>
      <w:spacing w:after="120" w:afterLines="0" w:line="480" w:lineRule="auto"/>
      <w:ind w:left="420" w:left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7">
    <w:name w:val="span_chaptertitle"/>
    <w:qFormat/>
    <w:uiPriority w:val="0"/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8">
    <w:name w:val="样式 正文文字缩进 2 + 宋体 小四 行距: 1.5 倍行距"/>
    <w:qFormat/>
    <w:uiPriority w:val="99"/>
    <w:pPr>
      <w:spacing w:after="120" w:afterLines="0" w:line="480" w:lineRule="auto"/>
      <w:ind w:left="420" w:left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2024-07-08T09:33:00Z</dcterms:created>
  <dc:creator>WPS_1235713208</dc:creator>
  <cp:lastModifiedBy>WPS_1235713208</cp:lastModifiedBy>
  <dcterms:modified xsi:type="dcterms:W3CDTF">2024-07-08T09:35:33Z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75FE9C30877F4A2A82A71A5686F86BA8_11</vt:lpwstr>
  </property>
</Properties>
</file>