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</w:t>
      </w:r>
    </w:p>
    <w:p>
      <w:pPr>
        <w:spacing w:line="600" w:lineRule="exact"/>
      </w:pPr>
    </w:p>
    <w:p>
      <w:pPr>
        <w:adjustRightInd w:val="0"/>
        <w:snapToGrid w:val="0"/>
        <w:spacing w:line="600" w:lineRule="exact"/>
        <w:jc w:val="center"/>
        <w:outlineLvl w:val="0"/>
        <w:rPr>
          <w:rFonts w:ascii="方正小标宋简体" w:eastAsia="方正小标宋简体"/>
          <w:sz w:val="44"/>
          <w:szCs w:val="32"/>
        </w:rPr>
      </w:pPr>
      <w:bookmarkStart w:id="0" w:name="_Toc3305"/>
      <w:r>
        <w:rPr>
          <w:rFonts w:hint="eastAsia" w:ascii="方正小标宋简体" w:eastAsia="方正小标宋简体"/>
          <w:sz w:val="44"/>
          <w:szCs w:val="32"/>
        </w:rPr>
        <w:t>中国资产评估协会</w:t>
      </w:r>
      <w:bookmarkEnd w:id="0"/>
      <w:bookmarkStart w:id="1" w:name="_Toc15545"/>
    </w:p>
    <w:p>
      <w:pPr>
        <w:adjustRightInd w:val="0"/>
        <w:snapToGrid w:val="0"/>
        <w:spacing w:line="600" w:lineRule="exact"/>
        <w:jc w:val="center"/>
        <w:outlineLvl w:val="0"/>
        <w:rPr>
          <w:rFonts w:ascii="方正小标宋简体" w:eastAsia="方正小标宋简体"/>
          <w:sz w:val="44"/>
          <w:szCs w:val="32"/>
        </w:rPr>
      </w:pPr>
      <w:r>
        <w:rPr>
          <w:rFonts w:hint="eastAsia" w:ascii="方正小标宋简体" w:eastAsia="方正小标宋简体"/>
          <w:sz w:val="44"/>
          <w:szCs w:val="32"/>
        </w:rPr>
        <w:t>专门委员会和专业委员会管理办法</w:t>
      </w:r>
      <w:bookmarkEnd w:id="1"/>
    </w:p>
    <w:p>
      <w:pPr>
        <w:adjustRightInd w:val="0"/>
        <w:snapToGrid w:val="0"/>
        <w:spacing w:line="600" w:lineRule="exact"/>
        <w:ind w:firstLine="880" w:firstLineChars="200"/>
        <w:jc w:val="center"/>
        <w:outlineLvl w:val="1"/>
        <w:rPr>
          <w:rFonts w:ascii="方正小标宋简体" w:eastAsia="方正小标宋简体"/>
          <w:sz w:val="44"/>
          <w:szCs w:val="32"/>
        </w:rPr>
      </w:pPr>
    </w:p>
    <w:p>
      <w:pPr>
        <w:adjustRightInd w:val="0"/>
        <w:snapToGrid w:val="0"/>
        <w:spacing w:line="600" w:lineRule="exact"/>
        <w:jc w:val="center"/>
        <w:outlineLvl w:val="1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第一章 总则</w:t>
      </w:r>
    </w:p>
    <w:p>
      <w:pPr>
        <w:adjustRightInd w:val="0"/>
        <w:snapToGrid w:val="0"/>
        <w:spacing w:line="600" w:lineRule="exact"/>
        <w:ind w:firstLine="640" w:firstLineChars="200"/>
        <w:jc w:val="center"/>
        <w:outlineLvl w:val="1"/>
        <w:rPr>
          <w:rFonts w:ascii="黑体" w:hAnsi="黑体" w:eastAsia="黑体"/>
          <w:szCs w:val="32"/>
        </w:rPr>
      </w:pPr>
    </w:p>
    <w:p>
      <w:pPr>
        <w:adjustRightInd w:val="0"/>
        <w:snapToGrid w:val="0"/>
        <w:spacing w:line="600" w:lineRule="exact"/>
        <w:ind w:firstLine="643" w:firstLineChars="200"/>
        <w:rPr>
          <w:rFonts w:ascii="仿宋_GB2312"/>
          <w:szCs w:val="32"/>
        </w:rPr>
      </w:pPr>
      <w:r>
        <w:rPr>
          <w:rFonts w:hint="eastAsia" w:ascii="仿宋_GB2312"/>
          <w:b/>
          <w:szCs w:val="32"/>
        </w:rPr>
        <w:t xml:space="preserve">第一条 </w:t>
      </w:r>
      <w:r>
        <w:rPr>
          <w:rFonts w:hint="eastAsia" w:ascii="仿宋_GB2312"/>
          <w:szCs w:val="32"/>
        </w:rPr>
        <w:t>为了加强中国资产评估协会（以下简称中评协）专门委员会和专业委员会的管理，根据《中国资产评估协会章程》等有关规定，制定本办法。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仿宋_GB2312"/>
          <w:szCs w:val="32"/>
        </w:rPr>
      </w:pPr>
      <w:r>
        <w:rPr>
          <w:rFonts w:hint="eastAsia" w:ascii="仿宋_GB2312"/>
          <w:b/>
          <w:szCs w:val="32"/>
        </w:rPr>
        <w:t xml:space="preserve">第二条 </w:t>
      </w:r>
      <w:bookmarkStart w:id="2" w:name="_Hlk143589188"/>
      <w:r>
        <w:rPr>
          <w:rFonts w:hint="eastAsia" w:ascii="仿宋_GB2312"/>
          <w:szCs w:val="32"/>
        </w:rPr>
        <w:t>专门委员会和专业委员会</w:t>
      </w:r>
      <w:bookmarkEnd w:id="2"/>
      <w:r>
        <w:rPr>
          <w:rFonts w:hint="eastAsia" w:ascii="仿宋_GB2312"/>
          <w:szCs w:val="32"/>
        </w:rPr>
        <w:t>是中评协根据发展需要设立的从事专项业务活动的内设机构，对理事会负责。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专门委员会是中评协理事会履行具体职责的专门工作机构。全称为“中国资产评估协会XX委员会”。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专业委员会是为更好履行中评协职责，在有关专业领域设立的专业工作平台。全称为“中国资产评估协会XX专业委员会”。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仿宋_GB2312"/>
          <w:szCs w:val="32"/>
        </w:rPr>
      </w:pPr>
      <w:r>
        <w:rPr>
          <w:rFonts w:hint="eastAsia" w:ascii="仿宋_GB2312"/>
          <w:b/>
          <w:szCs w:val="32"/>
        </w:rPr>
        <w:t xml:space="preserve">第三条 </w:t>
      </w:r>
      <w:r>
        <w:rPr>
          <w:rFonts w:hint="eastAsia" w:ascii="仿宋_GB2312"/>
          <w:szCs w:val="32"/>
        </w:rPr>
        <w:t>专门委员会和专业委员会（以下简称委员会）不具有法人资格，不另行制定章程。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仿宋_GB2312"/>
          <w:szCs w:val="32"/>
        </w:rPr>
      </w:pPr>
      <w:r>
        <w:rPr>
          <w:rFonts w:hint="eastAsia" w:ascii="仿宋_GB2312"/>
          <w:b/>
          <w:szCs w:val="32"/>
        </w:rPr>
        <w:t xml:space="preserve">第四条 </w:t>
      </w:r>
      <w:r>
        <w:rPr>
          <w:rFonts w:hint="eastAsia" w:ascii="仿宋_GB2312"/>
          <w:szCs w:val="32"/>
        </w:rPr>
        <w:t>委员会的设立、变更和终止等事项，由中评协理事会决定，理事会闭会期间由常务理事会决定。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中评协会员不得自发组建委员会。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仿宋_GB2312"/>
          <w:szCs w:val="32"/>
        </w:rPr>
      </w:pPr>
      <w:r>
        <w:rPr>
          <w:rFonts w:hint="eastAsia" w:ascii="仿宋_GB2312"/>
          <w:b/>
          <w:szCs w:val="32"/>
        </w:rPr>
        <w:t xml:space="preserve">第五条 </w:t>
      </w:r>
      <w:r>
        <w:rPr>
          <w:rFonts w:hint="eastAsia" w:ascii="仿宋_GB2312"/>
          <w:szCs w:val="32"/>
        </w:rPr>
        <w:t>委员会在中评协授权的职责范围内，依法规范有序组织开展活动。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仿宋_GB2312"/>
          <w:szCs w:val="32"/>
        </w:rPr>
      </w:pPr>
      <w:r>
        <w:rPr>
          <w:rFonts w:hint="eastAsia" w:ascii="仿宋_GB2312"/>
          <w:b/>
          <w:szCs w:val="32"/>
        </w:rPr>
        <w:t xml:space="preserve">第六条 </w:t>
      </w:r>
      <w:r>
        <w:rPr>
          <w:rFonts w:hint="eastAsia" w:ascii="仿宋_GB2312"/>
          <w:szCs w:val="32"/>
        </w:rPr>
        <w:t>中评协秘书处负责联系、协调委员会开展工作。</w:t>
      </w:r>
    </w:p>
    <w:p>
      <w:pPr>
        <w:adjustRightInd w:val="0"/>
        <w:snapToGrid w:val="0"/>
        <w:spacing w:line="600" w:lineRule="exact"/>
        <w:ind w:firstLine="640" w:firstLineChars="200"/>
        <w:jc w:val="center"/>
        <w:outlineLvl w:val="1"/>
        <w:rPr>
          <w:rFonts w:ascii="黑体" w:hAnsi="黑体" w:eastAsia="黑体"/>
          <w:szCs w:val="32"/>
        </w:rPr>
      </w:pPr>
    </w:p>
    <w:p>
      <w:pPr>
        <w:adjustRightInd w:val="0"/>
        <w:snapToGrid w:val="0"/>
        <w:spacing w:line="600" w:lineRule="exact"/>
        <w:jc w:val="center"/>
        <w:outlineLvl w:val="1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第二章 组织</w:t>
      </w:r>
    </w:p>
    <w:p>
      <w:pPr>
        <w:adjustRightInd w:val="0"/>
        <w:snapToGrid w:val="0"/>
        <w:spacing w:line="600" w:lineRule="exact"/>
        <w:ind w:firstLine="640" w:firstLineChars="200"/>
        <w:jc w:val="center"/>
        <w:outlineLvl w:val="1"/>
        <w:rPr>
          <w:rFonts w:ascii="黑体" w:hAnsi="黑体" w:eastAsia="黑体"/>
          <w:szCs w:val="32"/>
        </w:rPr>
      </w:pPr>
    </w:p>
    <w:p>
      <w:pPr>
        <w:adjustRightInd w:val="0"/>
        <w:snapToGrid w:val="0"/>
        <w:spacing w:line="600" w:lineRule="exact"/>
        <w:ind w:firstLine="643" w:firstLineChars="200"/>
        <w:rPr>
          <w:rFonts w:ascii="仿宋_GB2312"/>
          <w:szCs w:val="32"/>
        </w:rPr>
      </w:pPr>
      <w:r>
        <w:rPr>
          <w:rFonts w:hint="eastAsia" w:ascii="仿宋_GB2312"/>
          <w:b/>
          <w:szCs w:val="32"/>
        </w:rPr>
        <w:t xml:space="preserve">第七条 </w:t>
      </w:r>
      <w:r>
        <w:rPr>
          <w:rFonts w:hint="eastAsia" w:ascii="仿宋_GB2312"/>
          <w:szCs w:val="32"/>
        </w:rPr>
        <w:t>委员会委员应当以中评协会员为主体，可根据工作需要适当吸收相关领域的专家参加。会员比例原则上不低于三分之二。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仿宋_GB2312"/>
          <w:szCs w:val="32"/>
        </w:rPr>
      </w:pPr>
      <w:r>
        <w:rPr>
          <w:rFonts w:hint="eastAsia" w:ascii="仿宋_GB2312"/>
          <w:b/>
          <w:szCs w:val="32"/>
        </w:rPr>
        <w:t xml:space="preserve">第八条 </w:t>
      </w:r>
      <w:r>
        <w:rPr>
          <w:rFonts w:hint="eastAsia" w:ascii="仿宋_GB2312"/>
          <w:szCs w:val="32"/>
        </w:rPr>
        <w:t>委员应当符合下列基本条件：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（一）热爱祖国，拥护中国共产党的领导，遵纪守法，热爱、热心资产评估事业；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（二）自觉遵守中评协章程及其他有关规定；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（三）有较高的资产评估理论、实务方面的素养；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（四）有5年以上评估执业经历或相关领域工作经验，有一定的社会影响；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（五）过去5年未因执业行为受刑事处罚、行政处罚或中评协自律惩戒。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仿宋_GB2312"/>
          <w:szCs w:val="32"/>
        </w:rPr>
      </w:pPr>
      <w:r>
        <w:rPr>
          <w:rFonts w:hint="eastAsia" w:ascii="仿宋_GB2312"/>
          <w:b/>
          <w:szCs w:val="32"/>
        </w:rPr>
        <w:t xml:space="preserve">第九条 </w:t>
      </w:r>
      <w:r>
        <w:rPr>
          <w:rFonts w:hint="eastAsia" w:ascii="仿宋_GB2312"/>
          <w:szCs w:val="32"/>
        </w:rPr>
        <w:t>委员有下列权利：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（一）对本委员会的工作、计划、安排提出意见和建议；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（二）参加本委员会的各项活动；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（三）参与本委员会的各项决策，对需要表决的事项具有表决权；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（四）以本委员会的名义参加相关社会活动。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仿宋_GB2312"/>
          <w:szCs w:val="32"/>
        </w:rPr>
      </w:pPr>
      <w:r>
        <w:rPr>
          <w:rFonts w:hint="eastAsia" w:ascii="仿宋_GB2312"/>
          <w:b/>
          <w:szCs w:val="32"/>
        </w:rPr>
        <w:t xml:space="preserve">第十条 </w:t>
      </w:r>
      <w:r>
        <w:rPr>
          <w:rFonts w:hint="eastAsia" w:ascii="仿宋_GB2312"/>
          <w:szCs w:val="32"/>
        </w:rPr>
        <w:t>委员应当履行下列义务：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（一）积极参加本委员会的各项活动；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（二）完成本委员会交办的工作任务；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（三）遵守工作纪律、保守工作秘密；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（四）维护资产评估行业和中评协的声誉与形象；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（五）</w:t>
      </w:r>
      <w:r>
        <w:rPr>
          <w:rFonts w:hint="eastAsia" w:ascii="仿宋_GB2312" w:hAnsi="方正小标宋简体"/>
          <w:szCs w:val="32"/>
        </w:rPr>
        <w:t>遵守中评协和本委员会的管理规定</w:t>
      </w:r>
      <w:r>
        <w:rPr>
          <w:rFonts w:hint="eastAsia" w:ascii="仿宋_GB2312"/>
          <w:szCs w:val="32"/>
        </w:rPr>
        <w:t>。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仿宋_GB2312"/>
          <w:szCs w:val="32"/>
        </w:rPr>
      </w:pPr>
      <w:r>
        <w:rPr>
          <w:rFonts w:hint="eastAsia" w:ascii="仿宋_GB2312"/>
          <w:b/>
          <w:szCs w:val="32"/>
        </w:rPr>
        <w:t xml:space="preserve">第十一条 </w:t>
      </w:r>
      <w:r>
        <w:rPr>
          <w:rFonts w:hint="eastAsia" w:ascii="仿宋_GB2312"/>
          <w:szCs w:val="32"/>
        </w:rPr>
        <w:t>委员有下列情形之一的，取消其委员资格：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（一）无故2次不参加本委员会全体活动的；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（二）累计3次请假不参加本委员会全体活动的；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（三）不能正常履行职责的；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（四）受到刑事处罚的；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（五）违反本办法规定且不听劝阻的；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（六）有其他严重违规行为的。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仿宋_GB2312"/>
          <w:szCs w:val="32"/>
        </w:rPr>
      </w:pPr>
      <w:r>
        <w:rPr>
          <w:rFonts w:hint="eastAsia" w:ascii="仿宋_GB2312"/>
          <w:b/>
          <w:szCs w:val="32"/>
        </w:rPr>
        <w:t>第十二条</w:t>
      </w:r>
      <w:r>
        <w:rPr>
          <w:rFonts w:hint="eastAsia" w:ascii="仿宋_GB2312"/>
          <w:szCs w:val="32"/>
        </w:rPr>
        <w:t xml:space="preserve"> 委员不适合继续任职的，由委员会或中评协秘书处提出意见，经中评协理事会或常务理事会批准后免去职务。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仿宋_GB2312"/>
          <w:szCs w:val="32"/>
        </w:rPr>
      </w:pPr>
      <w:r>
        <w:rPr>
          <w:rFonts w:hint="eastAsia" w:ascii="仿宋_GB2312"/>
          <w:b/>
          <w:szCs w:val="32"/>
        </w:rPr>
        <w:t xml:space="preserve">第十三条 </w:t>
      </w:r>
      <w:r>
        <w:rPr>
          <w:rFonts w:hint="eastAsia" w:ascii="仿宋_GB2312"/>
          <w:szCs w:val="32"/>
        </w:rPr>
        <w:t>委员会原则上设主任委员一名、副主任委员若干名。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委员会实行主任委员负责制，副主任委员协助主任委员工作。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仿宋_GB2312"/>
          <w:szCs w:val="32"/>
        </w:rPr>
      </w:pPr>
      <w:r>
        <w:rPr>
          <w:rFonts w:hint="eastAsia" w:ascii="仿宋_GB2312"/>
          <w:b/>
          <w:szCs w:val="32"/>
        </w:rPr>
        <w:t xml:space="preserve">第十四条 </w:t>
      </w:r>
      <w:r>
        <w:rPr>
          <w:rFonts w:hint="eastAsia" w:ascii="仿宋_GB2312"/>
          <w:szCs w:val="32"/>
        </w:rPr>
        <w:t>主任委员、副主任委员、委员人选由中评协秘书处提名，经中评协理事会批准后就任，任期5年，可连选连任。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仿宋_GB2312"/>
          <w:szCs w:val="32"/>
        </w:rPr>
      </w:pPr>
      <w:r>
        <w:rPr>
          <w:rFonts w:hint="eastAsia" w:ascii="仿宋_GB2312"/>
          <w:b/>
          <w:szCs w:val="32"/>
        </w:rPr>
        <w:t xml:space="preserve">第十五条 </w:t>
      </w:r>
      <w:r>
        <w:rPr>
          <w:rFonts w:hint="eastAsia" w:ascii="仿宋_GB2312"/>
          <w:szCs w:val="32"/>
        </w:rPr>
        <w:t>主任委员履行下列职责：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（一）主持本委员会的工作，并组织制定工作规则；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（二）组织制定并实施年度工作计划，组织撰写年度工作总结；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（三）召集并主持本委员会各类会议，执行中评协理事会和本委员会会议的决议；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（四）经授权代表中评协或以本委员会的名义向有关部门提出建议或意见，参加相关社会活动；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（五）向中评协理事会汇报工作，向本委员会委员通报情况；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（六）完成中评协交办的其他任务。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仿宋_GB2312"/>
          <w:szCs w:val="32"/>
        </w:rPr>
      </w:pPr>
      <w:r>
        <w:rPr>
          <w:rFonts w:hint="eastAsia" w:ascii="仿宋_GB2312"/>
          <w:b/>
          <w:szCs w:val="32"/>
        </w:rPr>
        <w:t xml:space="preserve">第十六条 </w:t>
      </w:r>
      <w:r>
        <w:rPr>
          <w:rFonts w:hint="eastAsia" w:ascii="仿宋_GB2312"/>
          <w:szCs w:val="32"/>
        </w:rPr>
        <w:t>委员会会议履行下列职责：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（一）提出本委员会委员的增补和撤换意见；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（二）研究审议本委员会的工作规则，提交中评协理事会表决；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（三）审议、决定本委员会授权职责范围内的重大事项；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（四）研究审议本委员会年度工作计划、年度工作总结，提交中评协理事会表决。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仿宋_GB2312"/>
          <w:szCs w:val="32"/>
        </w:rPr>
      </w:pPr>
      <w:r>
        <w:rPr>
          <w:rFonts w:hint="eastAsia" w:ascii="仿宋_GB2312"/>
          <w:b/>
          <w:szCs w:val="32"/>
        </w:rPr>
        <w:t xml:space="preserve">第十七条 </w:t>
      </w:r>
      <w:r>
        <w:rPr>
          <w:rFonts w:hint="eastAsia" w:ascii="仿宋_GB2312"/>
          <w:szCs w:val="32"/>
        </w:rPr>
        <w:t>委员会可根据需要设立办事机构，负责处理本委员会日常事务。</w:t>
      </w:r>
    </w:p>
    <w:p>
      <w:pPr>
        <w:adjustRightInd w:val="0"/>
        <w:snapToGrid w:val="0"/>
        <w:spacing w:line="600" w:lineRule="exact"/>
        <w:jc w:val="center"/>
        <w:outlineLvl w:val="1"/>
        <w:rPr>
          <w:rFonts w:ascii="黑体" w:hAnsi="黑体" w:eastAsia="黑体"/>
          <w:szCs w:val="32"/>
        </w:rPr>
      </w:pPr>
    </w:p>
    <w:p>
      <w:pPr>
        <w:adjustRightInd w:val="0"/>
        <w:snapToGrid w:val="0"/>
        <w:spacing w:line="600" w:lineRule="exact"/>
        <w:jc w:val="center"/>
        <w:outlineLvl w:val="1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第三章  管理</w:t>
      </w:r>
    </w:p>
    <w:p>
      <w:pPr>
        <w:adjustRightInd w:val="0"/>
        <w:snapToGrid w:val="0"/>
        <w:spacing w:line="600" w:lineRule="exact"/>
        <w:jc w:val="center"/>
        <w:outlineLvl w:val="1"/>
        <w:rPr>
          <w:rFonts w:ascii="黑体" w:hAnsi="黑体" w:eastAsia="黑体"/>
          <w:szCs w:val="32"/>
        </w:rPr>
      </w:pPr>
    </w:p>
    <w:p>
      <w:pPr>
        <w:adjustRightInd w:val="0"/>
        <w:snapToGrid w:val="0"/>
        <w:spacing w:line="600" w:lineRule="exact"/>
        <w:ind w:firstLine="643" w:firstLineChars="200"/>
        <w:jc w:val="left"/>
        <w:rPr>
          <w:rFonts w:ascii="仿宋_GB2312"/>
          <w:szCs w:val="32"/>
        </w:rPr>
      </w:pPr>
      <w:r>
        <w:rPr>
          <w:rFonts w:hint="eastAsia" w:ascii="仿宋_GB2312"/>
          <w:b/>
          <w:szCs w:val="32"/>
        </w:rPr>
        <w:t xml:space="preserve">第十八条 </w:t>
      </w:r>
      <w:r>
        <w:rPr>
          <w:rFonts w:hint="eastAsia" w:ascii="仿宋_GB2312"/>
          <w:szCs w:val="32"/>
        </w:rPr>
        <w:t>委员会不得设立任何形式的代表机构或分支机构。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仿宋_GB2312"/>
          <w:szCs w:val="32"/>
        </w:rPr>
      </w:pPr>
      <w:r>
        <w:rPr>
          <w:rFonts w:hint="eastAsia" w:ascii="仿宋_GB2312"/>
          <w:b/>
          <w:szCs w:val="32"/>
        </w:rPr>
        <w:t xml:space="preserve">第十九条 </w:t>
      </w:r>
      <w:r>
        <w:rPr>
          <w:rFonts w:hint="eastAsia" w:ascii="仿宋_GB2312"/>
          <w:szCs w:val="32"/>
        </w:rPr>
        <w:t>委员会不得发展会员、收取会费、接受捐赠。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仿宋_GB2312"/>
          <w:szCs w:val="32"/>
        </w:rPr>
      </w:pPr>
      <w:r>
        <w:rPr>
          <w:rFonts w:hint="eastAsia" w:ascii="仿宋_GB2312"/>
          <w:b/>
          <w:szCs w:val="32"/>
        </w:rPr>
        <w:t xml:space="preserve">第二十条 </w:t>
      </w:r>
      <w:r>
        <w:rPr>
          <w:rFonts w:hint="eastAsia" w:ascii="仿宋_GB2312"/>
          <w:szCs w:val="32"/>
        </w:rPr>
        <w:t>委员会日常工作经费由中评协承担，纳入中评协秘书处财务统一核算管理，不得以委员会名义独立开设银行账户。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仿宋_GB2312"/>
          <w:szCs w:val="32"/>
        </w:rPr>
      </w:pPr>
      <w:r>
        <w:rPr>
          <w:rFonts w:hint="eastAsia" w:ascii="仿宋_GB2312"/>
          <w:b/>
          <w:szCs w:val="32"/>
        </w:rPr>
        <w:t xml:space="preserve">第二十一条 </w:t>
      </w:r>
      <w:r>
        <w:rPr>
          <w:rFonts w:hint="eastAsia" w:ascii="仿宋_GB2312"/>
          <w:szCs w:val="32"/>
        </w:rPr>
        <w:t>委员会不制作印章，对外开展工作需要用印的，由中评协秘书处统一办理。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仿宋_GB2312"/>
          <w:szCs w:val="32"/>
        </w:rPr>
      </w:pPr>
      <w:r>
        <w:rPr>
          <w:rFonts w:hint="eastAsia" w:ascii="仿宋_GB2312"/>
          <w:b/>
          <w:szCs w:val="32"/>
        </w:rPr>
        <w:t xml:space="preserve">第二十二条 </w:t>
      </w:r>
      <w:r>
        <w:rPr>
          <w:rFonts w:hint="eastAsia" w:ascii="仿宋_GB2312"/>
          <w:szCs w:val="32"/>
        </w:rPr>
        <w:t>委员会应当制定本委员会的年度工作计划，提交中评协理事会通过后组织实施。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仿宋_GB2312"/>
          <w:szCs w:val="32"/>
        </w:rPr>
      </w:pPr>
      <w:r>
        <w:rPr>
          <w:rFonts w:hint="eastAsia" w:ascii="仿宋_GB2312"/>
          <w:b/>
          <w:szCs w:val="32"/>
        </w:rPr>
        <w:t xml:space="preserve">第二十三条 </w:t>
      </w:r>
      <w:r>
        <w:rPr>
          <w:rFonts w:hint="eastAsia" w:ascii="仿宋_GB2312"/>
          <w:szCs w:val="32"/>
        </w:rPr>
        <w:t>委员会应当按时提交年度工作总结。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仿宋_GB2312"/>
          <w:szCs w:val="32"/>
        </w:rPr>
      </w:pPr>
      <w:r>
        <w:rPr>
          <w:rFonts w:hint="eastAsia" w:ascii="仿宋_GB2312"/>
          <w:b/>
          <w:szCs w:val="32"/>
        </w:rPr>
        <w:t xml:space="preserve">第二十四条 </w:t>
      </w:r>
      <w:r>
        <w:rPr>
          <w:rFonts w:hint="eastAsia" w:ascii="仿宋_GB2312"/>
          <w:szCs w:val="32"/>
        </w:rPr>
        <w:t>委员会开展活动，应当使用冠有“中国资产评估协会”的规范全称或经批准的简称。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仿宋_GB2312"/>
          <w:szCs w:val="32"/>
        </w:rPr>
      </w:pPr>
      <w:r>
        <w:rPr>
          <w:rFonts w:hint="eastAsia" w:ascii="仿宋_GB2312"/>
          <w:b/>
          <w:szCs w:val="32"/>
        </w:rPr>
        <w:t>第二十五条</w:t>
      </w:r>
      <w:r>
        <w:rPr>
          <w:rFonts w:hint="eastAsia" w:ascii="仿宋_GB2312"/>
          <w:szCs w:val="32"/>
        </w:rPr>
        <w:t xml:space="preserve"> 未经中评协授权或批准，委员会不得以中评协名义进行活动。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仿宋_GB2312"/>
          <w:szCs w:val="32"/>
        </w:rPr>
      </w:pPr>
      <w:r>
        <w:rPr>
          <w:rFonts w:hint="eastAsia" w:ascii="仿宋_GB2312"/>
          <w:b/>
          <w:szCs w:val="32"/>
        </w:rPr>
        <w:t xml:space="preserve">第二十六条 </w:t>
      </w:r>
      <w:r>
        <w:rPr>
          <w:rFonts w:hint="eastAsia" w:ascii="仿宋_GB2312"/>
          <w:szCs w:val="32"/>
        </w:rPr>
        <w:t>委员会应当在授权职责范围内根据需要，定期或不定期组织开展活动。活动结束后，应当将活动开展情况及时报中评协秘书处。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仿宋_GB2312"/>
          <w:szCs w:val="32"/>
        </w:rPr>
      </w:pPr>
      <w:r>
        <w:rPr>
          <w:rFonts w:hint="eastAsia" w:ascii="仿宋_GB2312"/>
          <w:b/>
          <w:szCs w:val="32"/>
        </w:rPr>
        <w:t xml:space="preserve">第二十七条 </w:t>
      </w:r>
      <w:r>
        <w:rPr>
          <w:rFonts w:hint="eastAsia" w:ascii="仿宋_GB2312"/>
          <w:szCs w:val="32"/>
        </w:rPr>
        <w:t>委员会开展重要活动、全国性活动或国际性活动，应当事先制定活动方案报中评协秘书处审核。方案内容包括活动名称、必要性、活动时间和地点、主办协办承办单位、活动内容和议题、参与人员及规模、经费安排等。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仿宋_GB2312"/>
          <w:szCs w:val="32"/>
        </w:rPr>
      </w:pPr>
      <w:r>
        <w:rPr>
          <w:rFonts w:hint="eastAsia" w:ascii="仿宋_GB2312"/>
          <w:b/>
          <w:szCs w:val="32"/>
        </w:rPr>
        <w:t xml:space="preserve">第二十八条 </w:t>
      </w:r>
      <w:r>
        <w:rPr>
          <w:rFonts w:hint="eastAsia" w:ascii="仿宋_GB2312"/>
          <w:szCs w:val="32"/>
        </w:rPr>
        <w:t>委员会开展活动应当厉行节约，规范简朴，务实高效，反对奢侈浪费。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仿宋_GB2312"/>
          <w:b/>
          <w:szCs w:val="32"/>
        </w:rPr>
      </w:pPr>
      <w:r>
        <w:rPr>
          <w:rFonts w:hint="eastAsia" w:ascii="仿宋_GB2312"/>
          <w:b/>
          <w:szCs w:val="32"/>
        </w:rPr>
        <w:t xml:space="preserve">第二十九条 </w:t>
      </w:r>
      <w:r>
        <w:rPr>
          <w:rFonts w:hint="eastAsia" w:ascii="仿宋_GB2312"/>
          <w:bCs/>
          <w:szCs w:val="32"/>
        </w:rPr>
        <w:t>委员会针对相关业务或自身活动开展新闻宣传，应当事先将宣传内容、有关媒体、宣传方式等事项报中评协秘书处批准。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/>
          <w:bCs/>
          <w:szCs w:val="32"/>
        </w:rPr>
      </w:pPr>
      <w:r>
        <w:rPr>
          <w:rFonts w:hint="eastAsia" w:ascii="仿宋_GB2312"/>
          <w:bCs/>
          <w:szCs w:val="32"/>
        </w:rPr>
        <w:t>委员原则上不得以委员会名义接受媒体采访，经中评协委托或指派的除外。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仿宋_GB2312"/>
          <w:b/>
          <w:szCs w:val="32"/>
        </w:rPr>
      </w:pPr>
      <w:r>
        <w:rPr>
          <w:rFonts w:hint="eastAsia" w:ascii="仿宋_GB2312"/>
          <w:b/>
          <w:szCs w:val="32"/>
        </w:rPr>
        <w:t xml:space="preserve">第三十条 </w:t>
      </w:r>
      <w:r>
        <w:rPr>
          <w:rFonts w:hint="eastAsia" w:ascii="仿宋_GB2312"/>
          <w:bCs/>
          <w:szCs w:val="32"/>
        </w:rPr>
        <w:t>委员会与其他民事主体合作开展活动，包括但不限于会议、培训、调研、出版等，应当事先报中评协秘书处批准。</w:t>
      </w:r>
    </w:p>
    <w:p>
      <w:pPr>
        <w:adjustRightInd w:val="0"/>
        <w:snapToGrid w:val="0"/>
        <w:spacing w:line="600" w:lineRule="exact"/>
        <w:ind w:firstLine="640" w:firstLineChars="200"/>
        <w:jc w:val="center"/>
        <w:outlineLvl w:val="1"/>
        <w:rPr>
          <w:rFonts w:ascii="黑体" w:hAnsi="黑体" w:eastAsia="黑体"/>
          <w:szCs w:val="32"/>
        </w:rPr>
      </w:pPr>
    </w:p>
    <w:p>
      <w:pPr>
        <w:adjustRightInd w:val="0"/>
        <w:snapToGrid w:val="0"/>
        <w:spacing w:line="600" w:lineRule="exact"/>
        <w:jc w:val="center"/>
        <w:outlineLvl w:val="1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第四章 附则</w:t>
      </w:r>
    </w:p>
    <w:p>
      <w:pPr>
        <w:adjustRightInd w:val="0"/>
        <w:snapToGrid w:val="0"/>
        <w:spacing w:line="600" w:lineRule="exact"/>
        <w:ind w:firstLine="640" w:firstLineChars="200"/>
        <w:jc w:val="center"/>
        <w:outlineLvl w:val="1"/>
        <w:rPr>
          <w:rFonts w:ascii="黑体" w:hAnsi="黑体" w:eastAsia="黑体"/>
          <w:szCs w:val="32"/>
        </w:rPr>
      </w:pPr>
    </w:p>
    <w:p>
      <w:pPr>
        <w:adjustRightInd w:val="0"/>
        <w:snapToGrid w:val="0"/>
        <w:spacing w:line="600" w:lineRule="exact"/>
        <w:ind w:firstLine="643" w:firstLineChars="200"/>
        <w:rPr>
          <w:rFonts w:ascii="仿宋_GB2312"/>
          <w:szCs w:val="32"/>
        </w:rPr>
      </w:pPr>
      <w:r>
        <w:rPr>
          <w:rFonts w:hint="eastAsia" w:ascii="仿宋_GB2312"/>
          <w:b/>
          <w:szCs w:val="32"/>
        </w:rPr>
        <w:t xml:space="preserve">第三十一条 </w:t>
      </w:r>
      <w:r>
        <w:rPr>
          <w:rFonts w:hint="eastAsia" w:ascii="仿宋_GB2312"/>
          <w:szCs w:val="32"/>
        </w:rPr>
        <w:t>本办法自</w:t>
      </w:r>
      <w:r>
        <w:rPr>
          <w:rFonts w:hint="eastAsia" w:ascii="仿宋_GB2312"/>
          <w:szCs w:val="32"/>
          <w:lang w:val="en-US" w:eastAsia="zh-CN"/>
        </w:rPr>
        <w:t>2023</w:t>
      </w:r>
      <w:r>
        <w:rPr>
          <w:rFonts w:hint="eastAsia" w:ascii="仿宋_GB2312"/>
          <w:szCs w:val="32"/>
        </w:rPr>
        <w:t>年</w:t>
      </w:r>
      <w:r>
        <w:rPr>
          <w:rFonts w:hint="eastAsia" w:ascii="仿宋_GB2312"/>
          <w:szCs w:val="32"/>
          <w:lang w:val="en-US" w:eastAsia="zh-CN"/>
        </w:rPr>
        <w:t>10</w:t>
      </w:r>
      <w:r>
        <w:rPr>
          <w:rFonts w:hint="eastAsia" w:ascii="仿宋_GB2312"/>
          <w:szCs w:val="32"/>
        </w:rPr>
        <w:t>月</w:t>
      </w:r>
      <w:r>
        <w:rPr>
          <w:rFonts w:hint="eastAsia" w:ascii="仿宋_GB2312"/>
          <w:szCs w:val="32"/>
          <w:lang w:val="en-US" w:eastAsia="zh-CN"/>
        </w:rPr>
        <w:t>24</w:t>
      </w:r>
      <w:bookmarkStart w:id="3" w:name="_GoBack"/>
      <w:bookmarkEnd w:id="3"/>
      <w:r>
        <w:rPr>
          <w:rFonts w:hint="eastAsia" w:ascii="仿宋_GB2312"/>
          <w:szCs w:val="32"/>
        </w:rPr>
        <w:t>日起施行。《中国资产评估协会专门委员会和专业委员会工作规则》（中评协〔2017〕1号）同时废止。</w:t>
      </w:r>
    </w:p>
    <w:p>
      <w:pPr>
        <w:widowControl/>
        <w:jc w:val="left"/>
      </w:pPr>
    </w:p>
    <w:p>
      <w:pPr>
        <w:widowControl/>
        <w:jc w:val="left"/>
      </w:pPr>
    </w:p>
    <w:sectPr>
      <w:footerReference r:id="rId3" w:type="default"/>
      <w:footerReference r:id="rId4" w:type="even"/>
      <w:pgSz w:w="11906" w:h="16838"/>
      <w:pgMar w:top="2098" w:right="1474" w:bottom="1588" w:left="1588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both"/>
      <w:rPr>
        <w:rFonts w:ascii="仿宋_GB2312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4663440</wp:posOffset>
              </wp:positionH>
              <wp:positionV relativeFrom="paragraph">
                <wp:posOffset>-156845</wp:posOffset>
              </wp:positionV>
              <wp:extent cx="833120" cy="398145"/>
              <wp:effectExtent l="0" t="0" r="5080" b="1905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120" cy="39846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7.2pt;margin-top:-12.35pt;height:31.35pt;width:65.6pt;mso-position-horizontal-relative:margin;z-index:251660288;mso-width-relative:page;mso-height-relative:page;" filled="f" stroked="f" coordsize="21600,21600" o:gfxdata="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CUqkS9oAAAAKAQAADwAAAAAAAAABACAAAAAiAAAAZHJzL2Rvd25yZXYu&#10;eG1sUEsBAhQAFAAAAAgAh07iQLIbi6kyAgAAVwQAAA4AAAAAAAAAAQAgAAAAKQ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6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4725670</wp:posOffset>
              </wp:positionH>
              <wp:positionV relativeFrom="paragraph">
                <wp:posOffset>-156845</wp:posOffset>
              </wp:positionV>
              <wp:extent cx="1132205" cy="1138555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1888" cy="113887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jc w:val="right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 </w:t>
                          </w:r>
                        </w:p>
                        <w:p>
                          <w:pPr>
                            <w:pStyle w:val="6"/>
                            <w:wordWrap w:val="0"/>
                            <w:jc w:val="right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2.1pt;margin-top:-12.35pt;height:89.65pt;width:89.15pt;mso-position-horizontal-relative:margin;z-index:251659264;mso-width-relative:page;mso-height-relative:page;" filled="f" stroked="f" coordsize="21600,21600" o:gfxdata="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ofp1UNoAAAALAQAADwAAAAAAAAABACAAAAAiAAAAZHJzL2Rvd25yZXYu&#10;eG1sUEsBAhQAFAAAAAgAh07iQPWbSGEyAgAAWQQAAA4AAAAAAAAAAQAgAAAAKQ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6"/>
                      <w:jc w:val="right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 </w:t>
                    </w:r>
                  </w:p>
                  <w:p>
                    <w:pPr>
                      <w:pStyle w:val="6"/>
                      <w:wordWrap w:val="0"/>
                      <w:jc w:val="right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   </w:t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148590</wp:posOffset>
              </wp:positionH>
              <wp:positionV relativeFrom="paragraph">
                <wp:posOffset>-349885</wp:posOffset>
              </wp:positionV>
              <wp:extent cx="870585" cy="445770"/>
              <wp:effectExtent l="0" t="0" r="5715" b="12065"/>
              <wp:wrapNone/>
              <wp:docPr id="22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0585" cy="44545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1.7pt;margin-top:-27.55pt;height:35.1pt;width:68.55pt;mso-position-horizontal-relative:margin;z-index:251661312;mso-width-relative:page;mso-height-relative:page;" filled="f" stroked="f" coordsize="21600,21600" o:gfxdata="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Jq9cdLXAAAACQEAAA8AAAAAAAAAAQAgAAAAIgAAAGRycy9kb3ducmV2Lnht&#10;bFBLAQIUABQAAAAIAIdO4kBH7CuHMwIAAFcEAAAOAAAAAAAAAAEAIAAAACY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6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iNTY2NjY1NGFiOTQ4NjQzZjU2NGY5NmE5M2UyN2YifQ=="/>
  </w:docVars>
  <w:rsids>
    <w:rsidRoot w:val="00E57F72"/>
    <w:rsid w:val="0000448C"/>
    <w:rsid w:val="0002624F"/>
    <w:rsid w:val="00026A19"/>
    <w:rsid w:val="00027197"/>
    <w:rsid w:val="000553B5"/>
    <w:rsid w:val="000674B4"/>
    <w:rsid w:val="000D2BF7"/>
    <w:rsid w:val="000D6D49"/>
    <w:rsid w:val="000E0BE9"/>
    <w:rsid w:val="001B5D78"/>
    <w:rsid w:val="001D661A"/>
    <w:rsid w:val="00264868"/>
    <w:rsid w:val="00274532"/>
    <w:rsid w:val="00294841"/>
    <w:rsid w:val="002A30D9"/>
    <w:rsid w:val="002B45FF"/>
    <w:rsid w:val="002D6F3B"/>
    <w:rsid w:val="00300BCA"/>
    <w:rsid w:val="00310FB3"/>
    <w:rsid w:val="00320E5E"/>
    <w:rsid w:val="0036221E"/>
    <w:rsid w:val="00364D97"/>
    <w:rsid w:val="00384510"/>
    <w:rsid w:val="004171BB"/>
    <w:rsid w:val="004415E7"/>
    <w:rsid w:val="00445BCC"/>
    <w:rsid w:val="004558A6"/>
    <w:rsid w:val="00463E92"/>
    <w:rsid w:val="00464006"/>
    <w:rsid w:val="00464343"/>
    <w:rsid w:val="004669AB"/>
    <w:rsid w:val="004726BB"/>
    <w:rsid w:val="004C7A65"/>
    <w:rsid w:val="004D7F3B"/>
    <w:rsid w:val="004E4F53"/>
    <w:rsid w:val="004E6BA1"/>
    <w:rsid w:val="00522C0A"/>
    <w:rsid w:val="00526D68"/>
    <w:rsid w:val="00541D2E"/>
    <w:rsid w:val="0054461F"/>
    <w:rsid w:val="0059279D"/>
    <w:rsid w:val="005E1031"/>
    <w:rsid w:val="005E216E"/>
    <w:rsid w:val="00687FD0"/>
    <w:rsid w:val="006A57C9"/>
    <w:rsid w:val="006C431E"/>
    <w:rsid w:val="006F32B6"/>
    <w:rsid w:val="00703993"/>
    <w:rsid w:val="007166B3"/>
    <w:rsid w:val="00724BA4"/>
    <w:rsid w:val="007754ED"/>
    <w:rsid w:val="0077678D"/>
    <w:rsid w:val="00780E67"/>
    <w:rsid w:val="00790C28"/>
    <w:rsid w:val="007C1431"/>
    <w:rsid w:val="00800120"/>
    <w:rsid w:val="00806C8B"/>
    <w:rsid w:val="00847199"/>
    <w:rsid w:val="008525F1"/>
    <w:rsid w:val="00897D42"/>
    <w:rsid w:val="008A77FD"/>
    <w:rsid w:val="008E6203"/>
    <w:rsid w:val="008E6310"/>
    <w:rsid w:val="009658B9"/>
    <w:rsid w:val="0097475F"/>
    <w:rsid w:val="009E6DA3"/>
    <w:rsid w:val="009F1550"/>
    <w:rsid w:val="00A02416"/>
    <w:rsid w:val="00AB730C"/>
    <w:rsid w:val="00AC5260"/>
    <w:rsid w:val="00AE0326"/>
    <w:rsid w:val="00B02D4F"/>
    <w:rsid w:val="00B60467"/>
    <w:rsid w:val="00B77299"/>
    <w:rsid w:val="00C47E57"/>
    <w:rsid w:val="00C87D38"/>
    <w:rsid w:val="00CB1C29"/>
    <w:rsid w:val="00CB247D"/>
    <w:rsid w:val="00CE2F93"/>
    <w:rsid w:val="00CF03EC"/>
    <w:rsid w:val="00CF25EC"/>
    <w:rsid w:val="00D43945"/>
    <w:rsid w:val="00DA6AC0"/>
    <w:rsid w:val="00DB113B"/>
    <w:rsid w:val="00DC2C00"/>
    <w:rsid w:val="00E16978"/>
    <w:rsid w:val="00E4148D"/>
    <w:rsid w:val="00E57F72"/>
    <w:rsid w:val="00E86A1C"/>
    <w:rsid w:val="00EF6BAD"/>
    <w:rsid w:val="00F34818"/>
    <w:rsid w:val="00F348DC"/>
    <w:rsid w:val="00F6252B"/>
    <w:rsid w:val="00F670B4"/>
    <w:rsid w:val="00F82697"/>
    <w:rsid w:val="00FB3A1B"/>
    <w:rsid w:val="00FC3455"/>
    <w:rsid w:val="0E1345AA"/>
    <w:rsid w:val="0EC75A69"/>
    <w:rsid w:val="0F4A0448"/>
    <w:rsid w:val="0FD34785"/>
    <w:rsid w:val="0FD84356"/>
    <w:rsid w:val="16461969"/>
    <w:rsid w:val="209B6D55"/>
    <w:rsid w:val="268C2C23"/>
    <w:rsid w:val="289013A5"/>
    <w:rsid w:val="2DBD655D"/>
    <w:rsid w:val="2F034443"/>
    <w:rsid w:val="36F20845"/>
    <w:rsid w:val="3C1F03E3"/>
    <w:rsid w:val="3F7C6B11"/>
    <w:rsid w:val="3F8C3FE1"/>
    <w:rsid w:val="47964E71"/>
    <w:rsid w:val="47C87B80"/>
    <w:rsid w:val="4C107D48"/>
    <w:rsid w:val="4C952CDF"/>
    <w:rsid w:val="4F7800DE"/>
    <w:rsid w:val="5C563555"/>
    <w:rsid w:val="62E55633"/>
    <w:rsid w:val="64B6022B"/>
    <w:rsid w:val="68230BF4"/>
    <w:rsid w:val="6DCD73EF"/>
    <w:rsid w:val="6EB7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widowControl/>
      <w:spacing w:before="100" w:beforeAutospacing="1" w:after="100" w:afterAutospacing="1"/>
      <w:jc w:val="center"/>
      <w:outlineLvl w:val="0"/>
    </w:pPr>
    <w:rPr>
      <w:rFonts w:ascii="宋体" w:hAnsi="宋体" w:eastAsia="华文中宋" w:cs="宋体"/>
      <w:b/>
      <w:bCs/>
      <w:kern w:val="36"/>
      <w:sz w:val="44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2"/>
    <w:semiHidden/>
    <w:unhideWhenUsed/>
    <w:qFormat/>
    <w:uiPriority w:val="99"/>
    <w:pPr>
      <w:spacing w:after="120"/>
    </w:pPr>
  </w:style>
  <w:style w:type="paragraph" w:styleId="4">
    <w:name w:val="Plain Text"/>
    <w:basedOn w:val="1"/>
    <w:link w:val="19"/>
    <w:semiHidden/>
    <w:unhideWhenUsed/>
    <w:uiPriority w:val="0"/>
    <w:rPr>
      <w:rFonts w:ascii="宋体" w:hAnsi="Courier New" w:eastAsia="宋体" w:cs="Courier New"/>
      <w:sz w:val="21"/>
      <w:szCs w:val="21"/>
    </w:rPr>
  </w:style>
  <w:style w:type="paragraph" w:styleId="5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link w:val="20"/>
    <w:qFormat/>
    <w:uiPriority w:val="0"/>
    <w:pPr>
      <w:widowControl/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Cs w:val="32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styleId="10">
    <w:name w:val="Body Text First Indent"/>
    <w:basedOn w:val="3"/>
    <w:link w:val="23"/>
    <w:qFormat/>
    <w:uiPriority w:val="0"/>
    <w:pPr>
      <w:ind w:firstLine="420" w:firstLineChars="100"/>
    </w:pPr>
    <w:rPr>
      <w:rFonts w:ascii="Calibri" w:hAnsi="Calibri" w:eastAsia="宋体" w:cs="Times New Roman"/>
      <w:sz w:val="21"/>
      <w:szCs w:val="20"/>
    </w:rPr>
  </w:style>
  <w:style w:type="table" w:styleId="12">
    <w:name w:val="Table Grid"/>
    <w:basedOn w:val="11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页脚 Char"/>
    <w:basedOn w:val="13"/>
    <w:link w:val="6"/>
    <w:qFormat/>
    <w:uiPriority w:val="99"/>
    <w:rPr>
      <w:rFonts w:eastAsia="仿宋_GB2312"/>
      <w:sz w:val="18"/>
      <w:szCs w:val="18"/>
    </w:rPr>
  </w:style>
  <w:style w:type="character" w:customStyle="1" w:styleId="15">
    <w:name w:val="批注框文本 Char"/>
    <w:basedOn w:val="13"/>
    <w:link w:val="5"/>
    <w:semiHidden/>
    <w:qFormat/>
    <w:uiPriority w:val="99"/>
    <w:rPr>
      <w:rFonts w:eastAsia="仿宋_GB2312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页眉 Char"/>
    <w:basedOn w:val="13"/>
    <w:link w:val="7"/>
    <w:qFormat/>
    <w:uiPriority w:val="99"/>
    <w:rPr>
      <w:rFonts w:eastAsia="仿宋_GB2312"/>
      <w:sz w:val="18"/>
      <w:szCs w:val="18"/>
    </w:rPr>
  </w:style>
  <w:style w:type="character" w:customStyle="1" w:styleId="18">
    <w:name w:val="纯文本 Char"/>
    <w:basedOn w:val="13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9">
    <w:name w:val="纯文本 Char1"/>
    <w:link w:val="4"/>
    <w:semiHidden/>
    <w:qFormat/>
    <w:locked/>
    <w:uiPriority w:val="0"/>
    <w:rPr>
      <w:rFonts w:ascii="宋体" w:hAnsi="Courier New" w:eastAsia="宋体" w:cs="Courier New"/>
      <w:szCs w:val="21"/>
    </w:rPr>
  </w:style>
  <w:style w:type="character" w:customStyle="1" w:styleId="20">
    <w:name w:val="副标题 Char"/>
    <w:basedOn w:val="13"/>
    <w:link w:val="8"/>
    <w:qFormat/>
    <w:uiPriority w:val="0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21">
    <w:name w:val="标题 1 Char"/>
    <w:basedOn w:val="13"/>
    <w:link w:val="2"/>
    <w:qFormat/>
    <w:uiPriority w:val="9"/>
    <w:rPr>
      <w:rFonts w:ascii="宋体" w:hAnsi="宋体" w:eastAsia="华文中宋" w:cs="宋体"/>
      <w:b/>
      <w:bCs/>
      <w:kern w:val="36"/>
      <w:sz w:val="44"/>
      <w:szCs w:val="48"/>
    </w:rPr>
  </w:style>
  <w:style w:type="character" w:customStyle="1" w:styleId="22">
    <w:name w:val="正文文本 Char"/>
    <w:basedOn w:val="13"/>
    <w:link w:val="3"/>
    <w:semiHidden/>
    <w:qFormat/>
    <w:uiPriority w:val="99"/>
    <w:rPr>
      <w:rFonts w:eastAsia="仿宋_GB2312"/>
      <w:sz w:val="32"/>
    </w:rPr>
  </w:style>
  <w:style w:type="character" w:customStyle="1" w:styleId="23">
    <w:name w:val="正文首行缩进 Char"/>
    <w:basedOn w:val="22"/>
    <w:link w:val="10"/>
    <w:qFormat/>
    <w:uiPriority w:val="0"/>
    <w:rPr>
      <w:rFonts w:ascii="Calibri" w:hAnsi="Calibri" w:eastAsia="宋体" w:cs="Times New Roman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349156-4133-4189-9E4B-7B5219157E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343</Words>
  <Characters>1956</Characters>
  <Lines>16</Lines>
  <Paragraphs>4</Paragraphs>
  <TotalTime>0</TotalTime>
  <ScaleCrop>false</ScaleCrop>
  <LinksUpToDate>false</LinksUpToDate>
  <CharactersWithSpaces>2295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2023-09-21T07:47:00Z</dcterms:created>
  <dc:creator>宋琼</dc:creator>
  <cp:lastModifiedBy>于爽</cp:lastModifiedBy>
  <cp:lastPrinted>2023-09-27T03:53:00Z</cp:lastPrinted>
  <dcterms:modified xsi:type="dcterms:W3CDTF">2023-10-24T09:04:10Z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1FB95F1977E74A26B042BDD1F6018E1F_12</vt:lpwstr>
  </property>
</Properties>
</file>